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0C4" w:rsidRPr="006E23F2" w:rsidRDefault="003520C4" w:rsidP="003520C4">
      <w:pPr>
        <w:suppressLineNumbers/>
        <w:spacing w:after="0" w:line="240" w:lineRule="auto"/>
        <w:ind w:left="2552"/>
        <w:jc w:val="both"/>
        <w:rPr>
          <w:rFonts w:ascii="Arial" w:eastAsia="Times New Roman" w:hAnsi="Arial" w:cs="Arial"/>
          <w:b/>
          <w:caps/>
          <w:sz w:val="26"/>
          <w:szCs w:val="26"/>
          <w:lang w:val="es-ES_tradnl" w:eastAsia="es-ES"/>
        </w:rPr>
      </w:pPr>
      <w:bookmarkStart w:id="0" w:name="_GoBack"/>
      <w:bookmarkEnd w:id="0"/>
      <w:r w:rsidRPr="006E23F2">
        <w:rPr>
          <w:rFonts w:ascii="Arial" w:eastAsia="Times New Roman" w:hAnsi="Arial" w:cs="Arial"/>
          <w:b/>
          <w:caps/>
          <w:sz w:val="26"/>
          <w:szCs w:val="26"/>
          <w:lang w:val="es-ES_tradnl" w:eastAsia="es-ES"/>
        </w:rPr>
        <w:t>AC</w:t>
      </w:r>
      <w:r>
        <w:rPr>
          <w:rFonts w:ascii="Arial" w:eastAsia="Times New Roman" w:hAnsi="Arial" w:cs="Arial"/>
          <w:b/>
          <w:caps/>
          <w:sz w:val="26"/>
          <w:szCs w:val="26"/>
          <w:lang w:val="es-ES_tradnl" w:eastAsia="es-ES"/>
        </w:rPr>
        <w:t xml:space="preserve">CIÓN DE INCONSTITUCIONALIDAD </w:t>
      </w:r>
      <w:r w:rsidR="00B825C4">
        <w:rPr>
          <w:rFonts w:ascii="Arial" w:eastAsia="Times New Roman" w:hAnsi="Arial" w:cs="Arial"/>
          <w:b/>
          <w:caps/>
          <w:sz w:val="26"/>
          <w:szCs w:val="26"/>
          <w:lang w:val="es-ES_tradnl" w:eastAsia="es-ES"/>
        </w:rPr>
        <w:t>201</w:t>
      </w:r>
      <w:r>
        <w:rPr>
          <w:rFonts w:ascii="Arial" w:eastAsia="Times New Roman" w:hAnsi="Arial" w:cs="Arial"/>
          <w:b/>
          <w:caps/>
          <w:sz w:val="26"/>
          <w:szCs w:val="26"/>
          <w:lang w:val="es-ES_tradnl" w:eastAsia="es-ES"/>
        </w:rPr>
        <w:t>/2020</w:t>
      </w:r>
      <w:r w:rsidRPr="00B36CCB">
        <w:rPr>
          <w:rFonts w:ascii="Arial" w:eastAsia="Times New Roman" w:hAnsi="Arial" w:cs="Arial"/>
          <w:b/>
          <w:caps/>
          <w:sz w:val="26"/>
          <w:szCs w:val="26"/>
          <w:lang w:val="es-ES_tradnl" w:eastAsia="es-ES"/>
        </w:rPr>
        <w:t xml:space="preserve"> </w:t>
      </w:r>
    </w:p>
    <w:p w:rsidR="003520C4" w:rsidRPr="006E23F2" w:rsidRDefault="003520C4" w:rsidP="003520C4">
      <w:pPr>
        <w:suppressLineNumbers/>
        <w:spacing w:after="0" w:line="240" w:lineRule="auto"/>
        <w:ind w:left="2552"/>
        <w:jc w:val="both"/>
        <w:rPr>
          <w:rFonts w:ascii="Arial" w:eastAsia="Times New Roman" w:hAnsi="Arial" w:cs="Arial"/>
          <w:b/>
          <w:caps/>
          <w:sz w:val="26"/>
          <w:szCs w:val="26"/>
          <w:lang w:val="es-ES_tradnl" w:eastAsia="es-ES"/>
        </w:rPr>
      </w:pPr>
      <w:r w:rsidRPr="006E23F2">
        <w:rPr>
          <w:rFonts w:ascii="Arial" w:eastAsia="Times New Roman" w:hAnsi="Arial" w:cs="Arial"/>
          <w:b/>
          <w:caps/>
          <w:sz w:val="26"/>
          <w:szCs w:val="26"/>
          <w:lang w:val="es-ES_tradnl" w:eastAsia="es-ES"/>
        </w:rPr>
        <w:t xml:space="preserve">PROMOVENTE: </w:t>
      </w:r>
      <w:r w:rsidR="00B825C4">
        <w:rPr>
          <w:rFonts w:ascii="Arial" w:eastAsia="Times New Roman" w:hAnsi="Arial" w:cs="Arial"/>
          <w:b/>
          <w:caps/>
          <w:sz w:val="26"/>
          <w:szCs w:val="26"/>
          <w:lang w:val="es-ES_tradnl" w:eastAsia="es-ES"/>
        </w:rPr>
        <w:t>Comisión nacional de los derechos humanos</w:t>
      </w:r>
    </w:p>
    <w:p w:rsidR="003520C4" w:rsidRPr="006E23F2" w:rsidRDefault="003520C4" w:rsidP="003520C4">
      <w:pPr>
        <w:pStyle w:val="corte4fondo"/>
        <w:suppressLineNumbers/>
        <w:spacing w:after="360" w:line="360" w:lineRule="auto"/>
        <w:ind w:firstLine="0"/>
        <w:rPr>
          <w:rFonts w:cs="Arial"/>
          <w:b/>
          <w:sz w:val="26"/>
          <w:szCs w:val="26"/>
        </w:rPr>
      </w:pPr>
    </w:p>
    <w:p w:rsidR="003520C4" w:rsidRPr="006E23F2" w:rsidRDefault="003520C4" w:rsidP="003520C4">
      <w:pPr>
        <w:pStyle w:val="corte4fondo"/>
        <w:suppressLineNumbers/>
        <w:spacing w:line="240" w:lineRule="auto"/>
        <w:ind w:firstLine="0"/>
        <w:rPr>
          <w:rFonts w:cs="Arial"/>
          <w:b/>
          <w:sz w:val="26"/>
          <w:szCs w:val="26"/>
        </w:rPr>
      </w:pPr>
      <w:r w:rsidRPr="006E23F2">
        <w:rPr>
          <w:rFonts w:cs="Arial"/>
          <w:b/>
          <w:sz w:val="26"/>
          <w:szCs w:val="26"/>
        </w:rPr>
        <w:t>MINISTRO PONENTE:</w:t>
      </w:r>
      <w:r w:rsidRPr="006E23F2">
        <w:rPr>
          <w:rFonts w:cs="Arial"/>
          <w:b/>
          <w:sz w:val="26"/>
          <w:szCs w:val="26"/>
        </w:rPr>
        <w:tab/>
        <w:t>JAVIER LAYNEZ POTISEK</w:t>
      </w:r>
    </w:p>
    <w:p w:rsidR="003520C4" w:rsidRPr="006E23F2" w:rsidRDefault="003520C4" w:rsidP="003520C4">
      <w:pPr>
        <w:pStyle w:val="corte4fondo"/>
        <w:suppressLineNumbers/>
        <w:spacing w:line="240" w:lineRule="auto"/>
        <w:ind w:firstLine="0"/>
        <w:rPr>
          <w:rFonts w:cs="Arial"/>
          <w:b/>
          <w:sz w:val="26"/>
          <w:szCs w:val="26"/>
        </w:rPr>
      </w:pPr>
      <w:r w:rsidRPr="006E23F2">
        <w:rPr>
          <w:rFonts w:cs="Arial"/>
          <w:b/>
          <w:sz w:val="26"/>
          <w:szCs w:val="26"/>
        </w:rPr>
        <w:t>SECRETARIO: ALFREDO NARVÁEZ MEDÉCIGO</w:t>
      </w:r>
    </w:p>
    <w:p w:rsidR="003520C4" w:rsidRPr="006E23F2" w:rsidRDefault="003520C4" w:rsidP="003520C4">
      <w:pPr>
        <w:pStyle w:val="corte4fondo"/>
        <w:suppressLineNumbers/>
        <w:spacing w:after="480" w:line="240" w:lineRule="auto"/>
        <w:ind w:firstLine="0"/>
        <w:rPr>
          <w:rFonts w:cs="Arial"/>
          <w:b/>
          <w:sz w:val="26"/>
          <w:szCs w:val="26"/>
        </w:rPr>
      </w:pPr>
      <w:r w:rsidRPr="006E23F2">
        <w:rPr>
          <w:rFonts w:cs="Arial"/>
          <w:b/>
          <w:sz w:val="26"/>
          <w:szCs w:val="26"/>
        </w:rPr>
        <w:t xml:space="preserve">COLABORÓ: </w:t>
      </w:r>
      <w:r>
        <w:rPr>
          <w:rFonts w:cs="Arial"/>
          <w:b/>
          <w:sz w:val="26"/>
          <w:szCs w:val="26"/>
        </w:rPr>
        <w:t>FERNANDA BITAR SIMÓN</w:t>
      </w:r>
    </w:p>
    <w:p w:rsidR="003520C4" w:rsidRDefault="003520C4" w:rsidP="003520C4">
      <w:pPr>
        <w:spacing w:after="360" w:line="360" w:lineRule="auto"/>
        <w:jc w:val="both"/>
        <w:rPr>
          <w:rFonts w:ascii="Arial" w:hAnsi="Arial" w:cs="Arial"/>
          <w:sz w:val="26"/>
          <w:szCs w:val="26"/>
          <w:lang w:eastAsia="es-ES"/>
        </w:rPr>
      </w:pPr>
    </w:p>
    <w:p w:rsidR="003520C4" w:rsidRPr="00D465FC" w:rsidRDefault="003520C4" w:rsidP="003520C4">
      <w:pPr>
        <w:spacing w:after="360" w:line="360" w:lineRule="auto"/>
        <w:jc w:val="both"/>
        <w:rPr>
          <w:rFonts w:ascii="Arial" w:hAnsi="Arial" w:cs="Arial"/>
          <w:sz w:val="26"/>
          <w:szCs w:val="26"/>
          <w:lang w:eastAsia="es-ES"/>
        </w:rPr>
      </w:pPr>
      <w:r w:rsidRPr="00D465FC">
        <w:rPr>
          <w:rFonts w:ascii="Arial" w:hAnsi="Arial" w:cs="Arial"/>
          <w:sz w:val="26"/>
          <w:szCs w:val="26"/>
          <w:lang w:eastAsia="es-ES"/>
        </w:rPr>
        <w:t>Ciudad de México. El Tribunal Pleno de la Suprema Corte de Justicia de la Nación</w:t>
      </w:r>
      <w:r w:rsidRPr="00C40B52">
        <w:rPr>
          <w:rFonts w:ascii="Arial" w:hAnsi="Arial" w:cs="Arial"/>
          <w:sz w:val="26"/>
          <w:szCs w:val="26"/>
          <w:lang w:eastAsia="es-ES"/>
        </w:rPr>
        <w:t xml:space="preserve">, en la sesión correspondiente al </w:t>
      </w:r>
      <w:r w:rsidR="002E5E1B">
        <w:rPr>
          <w:rFonts w:ascii="Arial" w:hAnsi="Arial" w:cs="Arial"/>
          <w:sz w:val="26"/>
          <w:szCs w:val="26"/>
          <w:lang w:eastAsia="es-ES"/>
        </w:rPr>
        <w:t xml:space="preserve">diez </w:t>
      </w:r>
      <w:r>
        <w:rPr>
          <w:rFonts w:ascii="Arial" w:hAnsi="Arial" w:cs="Arial"/>
          <w:sz w:val="26"/>
          <w:szCs w:val="26"/>
          <w:lang w:eastAsia="es-ES"/>
        </w:rPr>
        <w:t>de</w:t>
      </w:r>
      <w:r w:rsidRPr="00B825C4">
        <w:rPr>
          <w:rFonts w:ascii="Arial" w:hAnsi="Arial" w:cs="Arial"/>
          <w:color w:val="FF0000"/>
          <w:sz w:val="26"/>
          <w:szCs w:val="26"/>
          <w:lang w:eastAsia="es-ES"/>
        </w:rPr>
        <w:t xml:space="preserve"> </w:t>
      </w:r>
      <w:r w:rsidR="00CE6E3D" w:rsidRPr="00CE6E3D">
        <w:rPr>
          <w:rFonts w:ascii="Arial" w:hAnsi="Arial" w:cs="Arial"/>
          <w:sz w:val="26"/>
          <w:szCs w:val="26"/>
          <w:lang w:eastAsia="es-ES"/>
        </w:rPr>
        <w:t>noviembre</w:t>
      </w:r>
      <w:r w:rsidRPr="00B825C4">
        <w:rPr>
          <w:rFonts w:ascii="Arial" w:hAnsi="Arial" w:cs="Arial"/>
          <w:color w:val="FF0000"/>
          <w:sz w:val="26"/>
          <w:szCs w:val="26"/>
          <w:lang w:eastAsia="es-ES"/>
        </w:rPr>
        <w:t xml:space="preserve"> </w:t>
      </w:r>
      <w:r>
        <w:rPr>
          <w:rFonts w:ascii="Arial" w:hAnsi="Arial" w:cs="Arial"/>
          <w:sz w:val="26"/>
          <w:szCs w:val="26"/>
          <w:lang w:eastAsia="es-ES"/>
        </w:rPr>
        <w:t>de dos mil veinte</w:t>
      </w:r>
      <w:r w:rsidRPr="00D465FC">
        <w:rPr>
          <w:rFonts w:ascii="Arial" w:hAnsi="Arial" w:cs="Arial"/>
          <w:sz w:val="26"/>
          <w:szCs w:val="26"/>
          <w:lang w:eastAsia="es-ES"/>
        </w:rPr>
        <w:t>, emite la siguiente</w:t>
      </w:r>
    </w:p>
    <w:p w:rsidR="003520C4" w:rsidRPr="00D465FC" w:rsidRDefault="003520C4" w:rsidP="003520C4">
      <w:pPr>
        <w:spacing w:after="360" w:line="360" w:lineRule="auto"/>
        <w:jc w:val="center"/>
        <w:rPr>
          <w:rFonts w:ascii="Arial" w:hAnsi="Arial" w:cs="Arial"/>
          <w:b/>
          <w:sz w:val="26"/>
          <w:szCs w:val="26"/>
        </w:rPr>
      </w:pPr>
      <w:r w:rsidRPr="00D465FC">
        <w:rPr>
          <w:rFonts w:ascii="Arial" w:hAnsi="Arial" w:cs="Arial"/>
          <w:b/>
          <w:sz w:val="26"/>
          <w:szCs w:val="26"/>
        </w:rPr>
        <w:t>S E N T E N C I A</w:t>
      </w:r>
    </w:p>
    <w:p w:rsidR="003520C4" w:rsidRPr="00DE5E3E" w:rsidRDefault="00CB3320" w:rsidP="003520C4">
      <w:pPr>
        <w:spacing w:after="360" w:line="360" w:lineRule="auto"/>
        <w:jc w:val="both"/>
        <w:rPr>
          <w:rFonts w:ascii="Arial" w:hAnsi="Arial" w:cs="Arial"/>
          <w:sz w:val="26"/>
          <w:szCs w:val="26"/>
        </w:rPr>
      </w:pPr>
      <w:r>
        <w:rPr>
          <w:rFonts w:ascii="Arial" w:hAnsi="Arial" w:cs="Arial"/>
          <w:sz w:val="26"/>
          <w:szCs w:val="26"/>
        </w:rPr>
        <w:t>M</w:t>
      </w:r>
      <w:r w:rsidR="003520C4" w:rsidRPr="00D465FC">
        <w:rPr>
          <w:rFonts w:ascii="Arial" w:hAnsi="Arial" w:cs="Arial"/>
          <w:sz w:val="26"/>
          <w:szCs w:val="26"/>
        </w:rPr>
        <w:t>ediante la que se resu</w:t>
      </w:r>
      <w:r w:rsidR="003520C4">
        <w:rPr>
          <w:rFonts w:ascii="Arial" w:hAnsi="Arial" w:cs="Arial"/>
          <w:sz w:val="26"/>
          <w:szCs w:val="26"/>
        </w:rPr>
        <w:t>elve la acción de i</w:t>
      </w:r>
      <w:r w:rsidR="003520C4" w:rsidRPr="00D465FC">
        <w:rPr>
          <w:rFonts w:ascii="Arial" w:hAnsi="Arial" w:cs="Arial"/>
          <w:sz w:val="26"/>
          <w:szCs w:val="26"/>
        </w:rPr>
        <w:t xml:space="preserve">nconstitucionalidad </w:t>
      </w:r>
      <w:r w:rsidR="00B825C4">
        <w:rPr>
          <w:rFonts w:ascii="Arial" w:hAnsi="Arial" w:cs="Arial"/>
          <w:sz w:val="26"/>
          <w:szCs w:val="26"/>
        </w:rPr>
        <w:t>201</w:t>
      </w:r>
      <w:r w:rsidR="003520C4">
        <w:rPr>
          <w:rFonts w:ascii="Arial" w:hAnsi="Arial" w:cs="Arial"/>
          <w:sz w:val="26"/>
          <w:szCs w:val="26"/>
        </w:rPr>
        <w:t>/2020</w:t>
      </w:r>
      <w:r w:rsidR="00370755">
        <w:rPr>
          <w:rFonts w:ascii="Arial" w:hAnsi="Arial" w:cs="Arial"/>
          <w:sz w:val="26"/>
          <w:szCs w:val="26"/>
        </w:rPr>
        <w:t>,</w:t>
      </w:r>
      <w:r w:rsidR="003520C4">
        <w:rPr>
          <w:rFonts w:ascii="Arial" w:hAnsi="Arial" w:cs="Arial"/>
          <w:sz w:val="26"/>
          <w:szCs w:val="26"/>
        </w:rPr>
        <w:t xml:space="preserve"> promovida por </w:t>
      </w:r>
      <w:r w:rsidR="00B825C4">
        <w:rPr>
          <w:rFonts w:ascii="Arial" w:hAnsi="Arial" w:cs="Arial"/>
          <w:sz w:val="26"/>
          <w:szCs w:val="26"/>
        </w:rPr>
        <w:t xml:space="preserve">la Comisión Nacional de los Derechos Humanos </w:t>
      </w:r>
      <w:r w:rsidR="003520C4">
        <w:rPr>
          <w:rFonts w:ascii="Arial" w:hAnsi="Arial" w:cs="Arial"/>
          <w:sz w:val="26"/>
          <w:szCs w:val="26"/>
        </w:rPr>
        <w:t xml:space="preserve">contra </w:t>
      </w:r>
      <w:r w:rsidR="00856D4A">
        <w:rPr>
          <w:rFonts w:ascii="Arial" w:hAnsi="Arial" w:cs="Arial"/>
          <w:sz w:val="26"/>
          <w:szCs w:val="26"/>
        </w:rPr>
        <w:t>los Decretos N°</w:t>
      </w:r>
      <w:r w:rsidR="00B825C4">
        <w:rPr>
          <w:rFonts w:ascii="Arial" w:hAnsi="Arial" w:cs="Arial"/>
          <w:sz w:val="26"/>
          <w:szCs w:val="26"/>
        </w:rPr>
        <w:t xml:space="preserve"> </w:t>
      </w:r>
      <w:r w:rsidR="00B825C4" w:rsidRPr="00B825C4">
        <w:rPr>
          <w:rFonts w:ascii="Arial" w:hAnsi="Arial" w:cs="Arial"/>
          <w:sz w:val="26"/>
          <w:szCs w:val="26"/>
        </w:rPr>
        <w:t xml:space="preserve">LXVI/RFCNT/0512/2019 I P.O., LXVI/RFLEY/0513/2019 I P.O., LXVI/RFLEY/0665/2020 III P.E. y </w:t>
      </w:r>
      <w:r w:rsidR="00B825C4">
        <w:rPr>
          <w:rFonts w:ascii="Arial" w:hAnsi="Arial" w:cs="Arial"/>
          <w:sz w:val="26"/>
          <w:szCs w:val="26"/>
        </w:rPr>
        <w:t>LXVI/RFLEY/0666/2020 III P.E.</w:t>
      </w:r>
      <w:r w:rsidR="00CF7217">
        <w:rPr>
          <w:rFonts w:ascii="Arial" w:hAnsi="Arial" w:cs="Arial"/>
          <w:sz w:val="26"/>
          <w:szCs w:val="26"/>
        </w:rPr>
        <w:t>,</w:t>
      </w:r>
      <w:r w:rsidR="003520C4">
        <w:rPr>
          <w:rFonts w:ascii="Arial" w:hAnsi="Arial" w:cs="Arial"/>
          <w:sz w:val="26"/>
          <w:szCs w:val="26"/>
        </w:rPr>
        <w:t xml:space="preserve"> publicado</w:t>
      </w:r>
      <w:r w:rsidR="00B825C4">
        <w:rPr>
          <w:rFonts w:ascii="Arial" w:hAnsi="Arial" w:cs="Arial"/>
          <w:sz w:val="26"/>
          <w:szCs w:val="26"/>
        </w:rPr>
        <w:t>s</w:t>
      </w:r>
      <w:r w:rsidR="003520C4">
        <w:rPr>
          <w:rFonts w:ascii="Arial" w:hAnsi="Arial" w:cs="Arial"/>
          <w:sz w:val="26"/>
          <w:szCs w:val="26"/>
        </w:rPr>
        <w:t xml:space="preserve"> en el Periódico Oficial del Estado </w:t>
      </w:r>
      <w:r w:rsidR="00B825C4">
        <w:rPr>
          <w:rFonts w:ascii="Arial" w:hAnsi="Arial" w:cs="Arial"/>
          <w:sz w:val="26"/>
          <w:szCs w:val="26"/>
        </w:rPr>
        <w:t>de Chihuahua</w:t>
      </w:r>
      <w:r w:rsidR="003520C4">
        <w:rPr>
          <w:rFonts w:ascii="Arial" w:hAnsi="Arial" w:cs="Arial"/>
          <w:sz w:val="26"/>
          <w:szCs w:val="26"/>
        </w:rPr>
        <w:t xml:space="preserve"> el </w:t>
      </w:r>
      <w:r w:rsidR="00B825C4">
        <w:rPr>
          <w:rFonts w:ascii="Arial" w:hAnsi="Arial" w:cs="Arial"/>
          <w:sz w:val="26"/>
          <w:szCs w:val="26"/>
        </w:rPr>
        <w:t>cuatro de marzo</w:t>
      </w:r>
      <w:r w:rsidR="003520C4">
        <w:rPr>
          <w:rFonts w:ascii="Arial" w:hAnsi="Arial" w:cs="Arial"/>
          <w:sz w:val="26"/>
          <w:szCs w:val="26"/>
        </w:rPr>
        <w:t xml:space="preserve"> de dos mil veinte, por medio de</w:t>
      </w:r>
      <w:r w:rsidR="000B09CF">
        <w:rPr>
          <w:rFonts w:ascii="Arial" w:hAnsi="Arial" w:cs="Arial"/>
          <w:sz w:val="26"/>
          <w:szCs w:val="26"/>
        </w:rPr>
        <w:t xml:space="preserve"> </w:t>
      </w:r>
      <w:r w:rsidR="003520C4">
        <w:rPr>
          <w:rFonts w:ascii="Arial" w:hAnsi="Arial" w:cs="Arial"/>
          <w:sz w:val="26"/>
          <w:szCs w:val="26"/>
        </w:rPr>
        <w:t>l</w:t>
      </w:r>
      <w:r w:rsidR="000B09CF">
        <w:rPr>
          <w:rFonts w:ascii="Arial" w:hAnsi="Arial" w:cs="Arial"/>
          <w:sz w:val="26"/>
          <w:szCs w:val="26"/>
        </w:rPr>
        <w:t>os</w:t>
      </w:r>
      <w:r w:rsidR="003520C4">
        <w:rPr>
          <w:rFonts w:ascii="Arial" w:hAnsi="Arial" w:cs="Arial"/>
          <w:sz w:val="26"/>
          <w:szCs w:val="26"/>
        </w:rPr>
        <w:t xml:space="preserve"> cual</w:t>
      </w:r>
      <w:r w:rsidR="000B09CF">
        <w:rPr>
          <w:rFonts w:ascii="Arial" w:hAnsi="Arial" w:cs="Arial"/>
          <w:sz w:val="26"/>
          <w:szCs w:val="26"/>
        </w:rPr>
        <w:t>es</w:t>
      </w:r>
      <w:r w:rsidR="003520C4">
        <w:rPr>
          <w:rFonts w:ascii="Arial" w:hAnsi="Arial" w:cs="Arial"/>
          <w:sz w:val="26"/>
          <w:szCs w:val="26"/>
        </w:rPr>
        <w:t xml:space="preserve"> se reform</w:t>
      </w:r>
      <w:r w:rsidR="00280D2B">
        <w:rPr>
          <w:rFonts w:ascii="Arial" w:hAnsi="Arial" w:cs="Arial"/>
          <w:sz w:val="26"/>
          <w:szCs w:val="26"/>
        </w:rPr>
        <w:t>ó</w:t>
      </w:r>
      <w:r w:rsidR="00B825C4">
        <w:rPr>
          <w:rFonts w:ascii="Arial" w:hAnsi="Arial" w:cs="Arial"/>
          <w:sz w:val="26"/>
          <w:szCs w:val="26"/>
        </w:rPr>
        <w:t xml:space="preserve"> la Constitución Política, la Ley Orgánica del Poder Ejecutivo, la Ley Orgánica del Poder Judicial, la Ley de Derechos de los Pueblos Indígenas y la Ley Electoral, todas del Estado de Chihuahua.</w:t>
      </w:r>
    </w:p>
    <w:p w:rsidR="003520C4" w:rsidRPr="008241B5" w:rsidRDefault="003520C4" w:rsidP="008241B5">
      <w:pPr>
        <w:pStyle w:val="corte4fondo"/>
        <w:suppressLineNumbers/>
        <w:spacing w:after="360" w:line="360" w:lineRule="auto"/>
        <w:ind w:firstLine="0"/>
        <w:jc w:val="center"/>
        <w:rPr>
          <w:rFonts w:cs="Arial"/>
          <w:b/>
          <w:sz w:val="26"/>
          <w:szCs w:val="26"/>
        </w:rPr>
      </w:pPr>
      <w:r w:rsidRPr="006E23F2">
        <w:rPr>
          <w:rFonts w:cs="Arial"/>
          <w:b/>
          <w:sz w:val="26"/>
          <w:szCs w:val="26"/>
        </w:rPr>
        <w:t>I. ANTECEDENTES</w:t>
      </w:r>
    </w:p>
    <w:p w:rsidR="006F2D1C" w:rsidRPr="001349C2" w:rsidRDefault="001C39A8" w:rsidP="004B0EA1">
      <w:pPr>
        <w:pStyle w:val="Prrafodelista"/>
        <w:numPr>
          <w:ilvl w:val="0"/>
          <w:numId w:val="1"/>
        </w:numPr>
        <w:spacing w:after="360" w:line="360" w:lineRule="auto"/>
        <w:ind w:left="0" w:hanging="567"/>
        <w:jc w:val="both"/>
        <w:rPr>
          <w:rFonts w:ascii="Arial" w:eastAsia="Times New Roman" w:hAnsi="Arial" w:cs="Arial"/>
          <w:sz w:val="26"/>
          <w:szCs w:val="26"/>
          <w:lang w:eastAsia="es-MX"/>
        </w:rPr>
      </w:pPr>
      <w:r>
        <w:rPr>
          <w:rFonts w:ascii="Arial" w:eastAsia="Times New Roman" w:hAnsi="Arial" w:cs="Arial"/>
          <w:b/>
          <w:bCs/>
          <w:sz w:val="26"/>
          <w:szCs w:val="26"/>
          <w:lang w:eastAsia="es-MX"/>
        </w:rPr>
        <w:t>Aprobación y p</w:t>
      </w:r>
      <w:r w:rsidR="00DE0B24">
        <w:rPr>
          <w:rFonts w:ascii="Arial" w:eastAsia="Times New Roman" w:hAnsi="Arial" w:cs="Arial"/>
          <w:b/>
          <w:bCs/>
          <w:sz w:val="26"/>
          <w:szCs w:val="26"/>
          <w:lang w:eastAsia="es-MX"/>
        </w:rPr>
        <w:t>ublicación</w:t>
      </w:r>
      <w:r w:rsidR="00F76290" w:rsidRPr="00B053D7">
        <w:rPr>
          <w:rFonts w:ascii="Arial" w:eastAsia="Times New Roman" w:hAnsi="Arial" w:cs="Arial"/>
          <w:b/>
          <w:sz w:val="26"/>
          <w:szCs w:val="26"/>
          <w:lang w:eastAsia="es-MX"/>
        </w:rPr>
        <w:t xml:space="preserve"> de la</w:t>
      </w:r>
      <w:r w:rsidR="00547403">
        <w:rPr>
          <w:rFonts w:ascii="Arial" w:eastAsia="Times New Roman" w:hAnsi="Arial" w:cs="Arial"/>
          <w:b/>
          <w:sz w:val="26"/>
          <w:szCs w:val="26"/>
          <w:lang w:eastAsia="es-MX"/>
        </w:rPr>
        <w:t>s</w:t>
      </w:r>
      <w:r w:rsidR="00F76290" w:rsidRPr="00B053D7">
        <w:rPr>
          <w:rFonts w:ascii="Arial" w:eastAsia="Times New Roman" w:hAnsi="Arial" w:cs="Arial"/>
          <w:b/>
          <w:sz w:val="26"/>
          <w:szCs w:val="26"/>
          <w:lang w:eastAsia="es-MX"/>
        </w:rPr>
        <w:t xml:space="preserve"> norma</w:t>
      </w:r>
      <w:r w:rsidR="00547403">
        <w:rPr>
          <w:rFonts w:ascii="Arial" w:eastAsia="Times New Roman" w:hAnsi="Arial" w:cs="Arial"/>
          <w:b/>
          <w:sz w:val="26"/>
          <w:szCs w:val="26"/>
          <w:lang w:eastAsia="es-MX"/>
        </w:rPr>
        <w:t>s</w:t>
      </w:r>
      <w:r w:rsidR="00F76290" w:rsidRPr="00B053D7">
        <w:rPr>
          <w:rFonts w:ascii="Arial" w:eastAsia="Times New Roman" w:hAnsi="Arial" w:cs="Arial"/>
          <w:b/>
          <w:sz w:val="26"/>
          <w:szCs w:val="26"/>
          <w:lang w:eastAsia="es-MX"/>
        </w:rPr>
        <w:t xml:space="preserve"> general</w:t>
      </w:r>
      <w:r w:rsidR="00547403">
        <w:rPr>
          <w:rFonts w:ascii="Arial" w:eastAsia="Times New Roman" w:hAnsi="Arial" w:cs="Arial"/>
          <w:b/>
          <w:sz w:val="26"/>
          <w:szCs w:val="26"/>
          <w:lang w:eastAsia="es-MX"/>
        </w:rPr>
        <w:t>es</w:t>
      </w:r>
      <w:r w:rsidR="00F76290" w:rsidRPr="00B053D7">
        <w:rPr>
          <w:rFonts w:ascii="Arial" w:eastAsia="Times New Roman" w:hAnsi="Arial" w:cs="Arial"/>
          <w:b/>
          <w:sz w:val="26"/>
          <w:szCs w:val="26"/>
          <w:lang w:eastAsia="es-MX"/>
        </w:rPr>
        <w:t xml:space="preserve"> impugnada</w:t>
      </w:r>
      <w:r w:rsidR="00547403">
        <w:rPr>
          <w:rFonts w:ascii="Arial" w:eastAsia="Times New Roman" w:hAnsi="Arial" w:cs="Arial"/>
          <w:b/>
          <w:sz w:val="26"/>
          <w:szCs w:val="26"/>
          <w:lang w:eastAsia="es-MX"/>
        </w:rPr>
        <w:t>s</w:t>
      </w:r>
      <w:r w:rsidR="00F76290" w:rsidRPr="00B053D7">
        <w:rPr>
          <w:rFonts w:ascii="Arial" w:eastAsia="Times New Roman" w:hAnsi="Arial" w:cs="Arial"/>
          <w:sz w:val="26"/>
          <w:szCs w:val="26"/>
          <w:lang w:eastAsia="es-MX"/>
        </w:rPr>
        <w:t xml:space="preserve">. </w:t>
      </w:r>
      <w:r w:rsidR="00720D99">
        <w:rPr>
          <w:rFonts w:ascii="Arial" w:eastAsia="Times New Roman" w:hAnsi="Arial" w:cs="Arial"/>
          <w:sz w:val="26"/>
          <w:szCs w:val="26"/>
          <w:lang w:eastAsia="es-MX"/>
        </w:rPr>
        <w:t>El</w:t>
      </w:r>
      <w:r>
        <w:rPr>
          <w:rFonts w:ascii="Arial" w:eastAsia="Times New Roman" w:hAnsi="Arial" w:cs="Arial"/>
          <w:sz w:val="26"/>
          <w:szCs w:val="26"/>
          <w:lang w:eastAsia="es-MX"/>
        </w:rPr>
        <w:t xml:space="preserve"> diez de diciembre de dos mil diecinueve la LXVI Legislatura del Congreso del Estado de Chihuahua aprobó el </w:t>
      </w:r>
      <w:r w:rsidRPr="001349C2">
        <w:rPr>
          <w:rFonts w:ascii="Arial" w:eastAsia="Times New Roman" w:hAnsi="Arial" w:cs="Arial"/>
          <w:b/>
          <w:sz w:val="26"/>
          <w:szCs w:val="26"/>
          <w:lang w:eastAsia="es-MX"/>
        </w:rPr>
        <w:t xml:space="preserve">Decreto N° </w:t>
      </w:r>
      <w:r w:rsidRPr="001349C2">
        <w:rPr>
          <w:rFonts w:ascii="Arial" w:hAnsi="Arial" w:cs="Arial"/>
          <w:b/>
          <w:sz w:val="26"/>
          <w:szCs w:val="26"/>
        </w:rPr>
        <w:t>LXVI/RFCNT/0512/2019 I P.O.</w:t>
      </w:r>
      <w:r>
        <w:rPr>
          <w:rFonts w:ascii="Arial" w:hAnsi="Arial" w:cs="Arial"/>
          <w:sz w:val="26"/>
          <w:szCs w:val="26"/>
        </w:rPr>
        <w:t>, por medio del cual se reform</w:t>
      </w:r>
      <w:r w:rsidR="00803422">
        <w:rPr>
          <w:rFonts w:ascii="Arial" w:hAnsi="Arial" w:cs="Arial"/>
          <w:sz w:val="26"/>
          <w:szCs w:val="26"/>
        </w:rPr>
        <w:t>ó</w:t>
      </w:r>
      <w:r>
        <w:rPr>
          <w:rFonts w:ascii="Arial" w:hAnsi="Arial" w:cs="Arial"/>
          <w:sz w:val="26"/>
          <w:szCs w:val="26"/>
        </w:rPr>
        <w:t xml:space="preserve"> el artículo 9, párrafo cuarto, de la Constitución Política del Estado de Chihuahua</w:t>
      </w:r>
      <w:r w:rsidR="006F2D1C">
        <w:rPr>
          <w:rFonts w:ascii="Arial" w:hAnsi="Arial" w:cs="Arial"/>
          <w:sz w:val="26"/>
          <w:szCs w:val="26"/>
        </w:rPr>
        <w:t xml:space="preserve"> (en lo sucesivo “Constitución de Chihuahua” o “Constitución Estatal”),</w:t>
      </w:r>
      <w:r>
        <w:rPr>
          <w:rFonts w:ascii="Arial" w:hAnsi="Arial" w:cs="Arial"/>
          <w:sz w:val="26"/>
          <w:szCs w:val="26"/>
        </w:rPr>
        <w:t xml:space="preserve"> y lo remitió para su aprobación a los sesenta y </w:t>
      </w:r>
      <w:r w:rsidR="006F2D1C">
        <w:rPr>
          <w:rFonts w:ascii="Arial" w:hAnsi="Arial" w:cs="Arial"/>
          <w:sz w:val="26"/>
          <w:szCs w:val="26"/>
        </w:rPr>
        <w:t>siete municipios que integran la entidad federativa</w:t>
      </w:r>
      <w:r>
        <w:rPr>
          <w:rFonts w:ascii="Arial" w:hAnsi="Arial" w:cs="Arial"/>
          <w:sz w:val="26"/>
          <w:szCs w:val="26"/>
        </w:rPr>
        <w:t>.</w:t>
      </w:r>
      <w:r w:rsidR="00581CAF">
        <w:rPr>
          <w:rFonts w:ascii="Arial" w:hAnsi="Arial" w:cs="Arial"/>
          <w:sz w:val="26"/>
          <w:szCs w:val="26"/>
        </w:rPr>
        <w:t xml:space="preserve"> El decreto aprobado disponía, en esencia, el establecimiento de instancias especializadas para asistir a los pueblos indígenas con personas traductoras, intérpretes y defensoras con conocimiento de su cultura.</w:t>
      </w:r>
    </w:p>
    <w:p w:rsidR="006F2D1C" w:rsidRPr="001349C2" w:rsidRDefault="001C39A8" w:rsidP="001349C2">
      <w:pPr>
        <w:pStyle w:val="Prrafodelista"/>
        <w:spacing w:after="360" w:line="360" w:lineRule="auto"/>
        <w:ind w:left="0"/>
        <w:jc w:val="both"/>
        <w:rPr>
          <w:rFonts w:ascii="Arial" w:eastAsia="Times New Roman" w:hAnsi="Arial" w:cs="Arial"/>
          <w:sz w:val="26"/>
          <w:szCs w:val="26"/>
          <w:lang w:eastAsia="es-MX"/>
        </w:rPr>
      </w:pPr>
      <w:r w:rsidRPr="00F6591B">
        <w:rPr>
          <w:rFonts w:ascii="Arial" w:hAnsi="Arial" w:cs="Arial"/>
          <w:sz w:val="26"/>
          <w:szCs w:val="26"/>
        </w:rPr>
        <w:t xml:space="preserve"> </w:t>
      </w:r>
    </w:p>
    <w:p w:rsidR="001C39A8" w:rsidRDefault="006F2D1C" w:rsidP="004B0EA1">
      <w:pPr>
        <w:pStyle w:val="Prrafodelista"/>
        <w:numPr>
          <w:ilvl w:val="0"/>
          <w:numId w:val="1"/>
        </w:numPr>
        <w:spacing w:after="360" w:line="360" w:lineRule="auto"/>
        <w:ind w:left="0" w:hanging="567"/>
        <w:jc w:val="both"/>
        <w:rPr>
          <w:rFonts w:ascii="Arial" w:eastAsia="Times New Roman" w:hAnsi="Arial" w:cs="Arial"/>
          <w:sz w:val="26"/>
          <w:szCs w:val="26"/>
          <w:lang w:eastAsia="es-MX"/>
        </w:rPr>
      </w:pPr>
      <w:r w:rsidRPr="001349C2">
        <w:rPr>
          <w:rFonts w:ascii="Arial" w:eastAsia="Times New Roman" w:hAnsi="Arial" w:cs="Arial"/>
          <w:bCs/>
          <w:sz w:val="26"/>
          <w:szCs w:val="26"/>
          <w:lang w:eastAsia="es-MX"/>
        </w:rPr>
        <w:lastRenderedPageBreak/>
        <w:t>Ese</w:t>
      </w:r>
      <w:r>
        <w:rPr>
          <w:rFonts w:ascii="Arial" w:hAnsi="Arial" w:cs="Arial"/>
          <w:sz w:val="26"/>
          <w:szCs w:val="26"/>
        </w:rPr>
        <w:t xml:space="preserve"> mismo día el Congreso del Estado de Chihuahua</w:t>
      </w:r>
      <w:r w:rsidR="001C39A8" w:rsidRPr="009259EF">
        <w:rPr>
          <w:rFonts w:ascii="Arial" w:hAnsi="Arial" w:cs="Arial"/>
          <w:sz w:val="26"/>
          <w:szCs w:val="26"/>
        </w:rPr>
        <w:t xml:space="preserve"> aprobó</w:t>
      </w:r>
      <w:r>
        <w:rPr>
          <w:rFonts w:ascii="Arial" w:hAnsi="Arial" w:cs="Arial"/>
          <w:sz w:val="26"/>
          <w:szCs w:val="26"/>
        </w:rPr>
        <w:t xml:space="preserve"> el</w:t>
      </w:r>
      <w:r w:rsidR="001C39A8" w:rsidRPr="009259EF">
        <w:rPr>
          <w:rFonts w:ascii="Arial" w:hAnsi="Arial" w:cs="Arial"/>
          <w:sz w:val="26"/>
          <w:szCs w:val="26"/>
        </w:rPr>
        <w:t xml:space="preserve"> </w:t>
      </w:r>
      <w:r w:rsidRPr="001349C2">
        <w:rPr>
          <w:rFonts w:ascii="Arial" w:eastAsia="Times New Roman" w:hAnsi="Arial" w:cs="Arial"/>
          <w:b/>
          <w:sz w:val="26"/>
          <w:szCs w:val="26"/>
          <w:lang w:eastAsia="es-MX"/>
        </w:rPr>
        <w:t xml:space="preserve">Decreto N° </w:t>
      </w:r>
      <w:r w:rsidRPr="001349C2">
        <w:rPr>
          <w:rFonts w:ascii="Arial" w:hAnsi="Arial" w:cs="Arial"/>
          <w:b/>
          <w:sz w:val="26"/>
          <w:szCs w:val="26"/>
        </w:rPr>
        <w:t>LXVI/RFLEY/0513/2019 I P.O.</w:t>
      </w:r>
      <w:r>
        <w:rPr>
          <w:rFonts w:ascii="Arial" w:hAnsi="Arial" w:cs="Arial"/>
          <w:sz w:val="26"/>
          <w:szCs w:val="26"/>
        </w:rPr>
        <w:t>,</w:t>
      </w:r>
      <w:r w:rsidRPr="009259EF">
        <w:rPr>
          <w:rFonts w:ascii="Arial" w:hAnsi="Arial" w:cs="Arial"/>
          <w:sz w:val="26"/>
          <w:szCs w:val="26"/>
        </w:rPr>
        <w:t xml:space="preserve"> </w:t>
      </w:r>
      <w:r w:rsidR="001C39A8" w:rsidRPr="009259EF">
        <w:rPr>
          <w:rFonts w:ascii="Arial" w:hAnsi="Arial" w:cs="Arial"/>
          <w:sz w:val="26"/>
          <w:szCs w:val="26"/>
        </w:rPr>
        <w:t>por</w:t>
      </w:r>
      <w:r>
        <w:rPr>
          <w:rFonts w:ascii="Arial" w:hAnsi="Arial" w:cs="Arial"/>
          <w:sz w:val="26"/>
          <w:szCs w:val="26"/>
        </w:rPr>
        <w:t xml:space="preserve"> medio del cual se reforma</w:t>
      </w:r>
      <w:r w:rsidR="00803422">
        <w:rPr>
          <w:rFonts w:ascii="Arial" w:hAnsi="Arial" w:cs="Arial"/>
          <w:sz w:val="26"/>
          <w:szCs w:val="26"/>
        </w:rPr>
        <w:t>ro</w:t>
      </w:r>
      <w:r>
        <w:rPr>
          <w:rFonts w:ascii="Arial" w:hAnsi="Arial" w:cs="Arial"/>
          <w:sz w:val="26"/>
          <w:szCs w:val="26"/>
        </w:rPr>
        <w:t>n y adiciona</w:t>
      </w:r>
      <w:r w:rsidR="00803422">
        <w:rPr>
          <w:rFonts w:ascii="Arial" w:hAnsi="Arial" w:cs="Arial"/>
          <w:sz w:val="26"/>
          <w:szCs w:val="26"/>
        </w:rPr>
        <w:t>ro</w:t>
      </w:r>
      <w:r>
        <w:rPr>
          <w:rFonts w:ascii="Arial" w:hAnsi="Arial" w:cs="Arial"/>
          <w:sz w:val="26"/>
          <w:szCs w:val="26"/>
        </w:rPr>
        <w:t>n</w:t>
      </w:r>
      <w:r w:rsidR="001C39A8" w:rsidRPr="009259EF">
        <w:rPr>
          <w:rFonts w:ascii="Arial" w:hAnsi="Arial" w:cs="Arial"/>
          <w:sz w:val="26"/>
          <w:szCs w:val="26"/>
        </w:rPr>
        <w:t xml:space="preserve"> </w:t>
      </w:r>
      <w:r>
        <w:rPr>
          <w:rFonts w:ascii="Arial" w:hAnsi="Arial" w:cs="Arial"/>
          <w:sz w:val="26"/>
          <w:szCs w:val="26"/>
        </w:rPr>
        <w:t xml:space="preserve">diversas disposiciones de </w:t>
      </w:r>
      <w:r w:rsidR="001C39A8" w:rsidRPr="006613FC">
        <w:rPr>
          <w:rFonts w:ascii="Arial" w:hAnsi="Arial" w:cs="Arial"/>
          <w:sz w:val="26"/>
          <w:szCs w:val="26"/>
        </w:rPr>
        <w:t>la Ley Orgánica del Poder Ejecutivo,</w:t>
      </w:r>
      <w:r w:rsidR="001575C3">
        <w:rPr>
          <w:rFonts w:ascii="Arial" w:hAnsi="Arial" w:cs="Arial"/>
          <w:sz w:val="26"/>
          <w:szCs w:val="26"/>
        </w:rPr>
        <w:t xml:space="preserve"> </w:t>
      </w:r>
      <w:r w:rsidR="009318BF">
        <w:rPr>
          <w:rFonts w:ascii="Arial" w:hAnsi="Arial" w:cs="Arial"/>
          <w:sz w:val="26"/>
          <w:szCs w:val="26"/>
        </w:rPr>
        <w:t xml:space="preserve">la </w:t>
      </w:r>
      <w:r w:rsidR="001C39A8" w:rsidRPr="006613FC">
        <w:rPr>
          <w:rFonts w:ascii="Arial" w:hAnsi="Arial" w:cs="Arial"/>
          <w:sz w:val="26"/>
          <w:szCs w:val="26"/>
        </w:rPr>
        <w:t>Ley Orgánica del Poder Judicial,</w:t>
      </w:r>
      <w:r w:rsidR="009318BF">
        <w:rPr>
          <w:rFonts w:ascii="Arial" w:hAnsi="Arial" w:cs="Arial"/>
          <w:sz w:val="26"/>
          <w:szCs w:val="26"/>
        </w:rPr>
        <w:t xml:space="preserve"> la</w:t>
      </w:r>
      <w:r w:rsidR="00803422">
        <w:rPr>
          <w:rFonts w:ascii="Arial" w:hAnsi="Arial" w:cs="Arial"/>
          <w:sz w:val="26"/>
          <w:szCs w:val="26"/>
        </w:rPr>
        <w:t xml:space="preserve"> </w:t>
      </w:r>
      <w:r w:rsidR="001C39A8" w:rsidRPr="006613FC">
        <w:rPr>
          <w:rFonts w:ascii="Arial" w:hAnsi="Arial" w:cs="Arial"/>
          <w:sz w:val="26"/>
          <w:szCs w:val="26"/>
        </w:rPr>
        <w:t>Ley de Derechos de los Pueblos Indígenas y</w:t>
      </w:r>
      <w:r w:rsidR="001575C3">
        <w:rPr>
          <w:rFonts w:ascii="Arial" w:hAnsi="Arial" w:cs="Arial"/>
          <w:sz w:val="26"/>
          <w:szCs w:val="26"/>
        </w:rPr>
        <w:t xml:space="preserve"> la </w:t>
      </w:r>
      <w:r w:rsidR="001C39A8" w:rsidRPr="006613FC">
        <w:rPr>
          <w:rFonts w:ascii="Arial" w:hAnsi="Arial" w:cs="Arial"/>
          <w:sz w:val="26"/>
          <w:szCs w:val="26"/>
        </w:rPr>
        <w:t>Ley Electoral, todas del Estado de Chihuahu</w:t>
      </w:r>
      <w:r w:rsidR="001C39A8">
        <w:rPr>
          <w:rFonts w:ascii="Arial" w:hAnsi="Arial" w:cs="Arial"/>
          <w:sz w:val="26"/>
          <w:szCs w:val="26"/>
        </w:rPr>
        <w:t>a</w:t>
      </w:r>
      <w:r w:rsidR="001C39A8" w:rsidRPr="005C1B7D">
        <w:rPr>
          <w:rFonts w:ascii="Arial" w:hAnsi="Arial" w:cs="Arial"/>
          <w:sz w:val="26"/>
          <w:szCs w:val="26"/>
        </w:rPr>
        <w:t>.</w:t>
      </w:r>
      <w:r w:rsidR="00A307B9">
        <w:rPr>
          <w:rFonts w:ascii="Arial" w:hAnsi="Arial" w:cs="Arial"/>
          <w:sz w:val="26"/>
          <w:szCs w:val="26"/>
        </w:rPr>
        <w:t xml:space="preserve"> Estas modificaciones implementaban a nivel legal</w:t>
      </w:r>
      <w:r w:rsidR="00BD5BA8">
        <w:rPr>
          <w:rFonts w:ascii="Arial" w:hAnsi="Arial" w:cs="Arial"/>
          <w:sz w:val="26"/>
          <w:szCs w:val="26"/>
        </w:rPr>
        <w:t>, mediante nuevas obligaciones e instancias especializadas,</w:t>
      </w:r>
      <w:r w:rsidR="00A307B9">
        <w:rPr>
          <w:rFonts w:ascii="Arial" w:hAnsi="Arial" w:cs="Arial"/>
          <w:sz w:val="26"/>
          <w:szCs w:val="26"/>
        </w:rPr>
        <w:t xml:space="preserve"> la asistencia de traductores, intérpretes y defensores a los pueblos y comunidades indígenas</w:t>
      </w:r>
      <w:r w:rsidR="00BD5BA8">
        <w:rPr>
          <w:rFonts w:ascii="Arial" w:hAnsi="Arial" w:cs="Arial"/>
          <w:sz w:val="26"/>
          <w:szCs w:val="26"/>
        </w:rPr>
        <w:t xml:space="preserve"> en distintos procedimientos</w:t>
      </w:r>
      <w:r w:rsidR="005F245A">
        <w:rPr>
          <w:rFonts w:ascii="Arial" w:hAnsi="Arial" w:cs="Arial"/>
          <w:sz w:val="26"/>
          <w:szCs w:val="26"/>
        </w:rPr>
        <w:t xml:space="preserve"> judiciales y administrativos</w:t>
      </w:r>
      <w:r w:rsidR="00A307B9">
        <w:rPr>
          <w:rFonts w:ascii="Arial" w:hAnsi="Arial" w:cs="Arial"/>
          <w:sz w:val="26"/>
          <w:szCs w:val="26"/>
        </w:rPr>
        <w:t>.</w:t>
      </w:r>
    </w:p>
    <w:p w:rsidR="001C39A8" w:rsidRDefault="001C39A8" w:rsidP="001349C2">
      <w:pPr>
        <w:pStyle w:val="Prrafodelista"/>
        <w:spacing w:after="360" w:line="360" w:lineRule="auto"/>
        <w:ind w:left="0"/>
        <w:jc w:val="both"/>
        <w:rPr>
          <w:rFonts w:ascii="Arial" w:eastAsia="Times New Roman" w:hAnsi="Arial" w:cs="Arial"/>
          <w:sz w:val="26"/>
          <w:szCs w:val="26"/>
          <w:lang w:eastAsia="es-MX"/>
        </w:rPr>
      </w:pPr>
    </w:p>
    <w:p w:rsidR="006F2D1C" w:rsidRPr="001349C2" w:rsidRDefault="006F2D1C" w:rsidP="004B0EA1">
      <w:pPr>
        <w:pStyle w:val="Prrafodelista"/>
        <w:numPr>
          <w:ilvl w:val="0"/>
          <w:numId w:val="1"/>
        </w:numPr>
        <w:spacing w:after="360" w:line="360" w:lineRule="auto"/>
        <w:ind w:left="0" w:hanging="567"/>
        <w:jc w:val="both"/>
        <w:rPr>
          <w:rFonts w:ascii="Arial" w:eastAsia="Times New Roman" w:hAnsi="Arial" w:cs="Arial"/>
          <w:sz w:val="26"/>
          <w:szCs w:val="26"/>
          <w:lang w:eastAsia="es-MX"/>
        </w:rPr>
      </w:pPr>
      <w:r>
        <w:rPr>
          <w:rFonts w:ascii="Arial" w:eastAsia="Times New Roman" w:hAnsi="Arial" w:cs="Arial"/>
          <w:sz w:val="26"/>
          <w:szCs w:val="26"/>
          <w:lang w:eastAsia="es-MX"/>
        </w:rPr>
        <w:t xml:space="preserve">El treinta de enero de dos mil veinte el Congreso del Estado de Chihuahua aprobó el </w:t>
      </w:r>
      <w:r w:rsidRPr="001349C2">
        <w:rPr>
          <w:rFonts w:ascii="Arial" w:eastAsia="Times New Roman" w:hAnsi="Arial" w:cs="Arial"/>
          <w:b/>
          <w:sz w:val="26"/>
          <w:szCs w:val="26"/>
          <w:lang w:eastAsia="es-MX"/>
        </w:rPr>
        <w:t>Decreto N°</w:t>
      </w:r>
      <w:r w:rsidRPr="001349C2">
        <w:rPr>
          <w:rFonts w:ascii="Arial" w:hAnsi="Arial" w:cs="Arial"/>
          <w:b/>
          <w:sz w:val="26"/>
          <w:szCs w:val="26"/>
        </w:rPr>
        <w:t xml:space="preserve"> LXVI/RFLEY/0665/2020 III P.E.</w:t>
      </w:r>
      <w:r>
        <w:rPr>
          <w:rFonts w:ascii="Arial" w:hAnsi="Arial" w:cs="Arial"/>
          <w:sz w:val="26"/>
          <w:szCs w:val="26"/>
        </w:rPr>
        <w:t>, por medio del cual</w:t>
      </w:r>
      <w:r w:rsidR="00D374BD">
        <w:rPr>
          <w:rFonts w:ascii="Arial" w:hAnsi="Arial" w:cs="Arial"/>
          <w:sz w:val="26"/>
          <w:szCs w:val="26"/>
        </w:rPr>
        <w:t xml:space="preserve"> se adiciona</w:t>
      </w:r>
      <w:r w:rsidR="001575C3">
        <w:rPr>
          <w:rFonts w:ascii="Arial" w:hAnsi="Arial" w:cs="Arial"/>
          <w:sz w:val="26"/>
          <w:szCs w:val="26"/>
        </w:rPr>
        <w:t>ro</w:t>
      </w:r>
      <w:r w:rsidR="00D374BD">
        <w:rPr>
          <w:rFonts w:ascii="Arial" w:hAnsi="Arial" w:cs="Arial"/>
          <w:sz w:val="26"/>
          <w:szCs w:val="26"/>
        </w:rPr>
        <w:t>n diversas disposiciones de la Ley Orgánica del Poder Judicial del Estado de Chihuahua.</w:t>
      </w:r>
      <w:r w:rsidR="00BD5BA8">
        <w:rPr>
          <w:rFonts w:ascii="Arial" w:hAnsi="Arial" w:cs="Arial"/>
          <w:sz w:val="26"/>
          <w:szCs w:val="26"/>
        </w:rPr>
        <w:t xml:space="preserve"> Las adiciones instauraban un Centro de Personas Traductoras e Intérpretes como órgano auxiliar del Poder Judicial del Estado</w:t>
      </w:r>
      <w:r w:rsidR="003B5693">
        <w:rPr>
          <w:rFonts w:ascii="Arial" w:hAnsi="Arial" w:cs="Arial"/>
          <w:sz w:val="26"/>
          <w:szCs w:val="26"/>
        </w:rPr>
        <w:t xml:space="preserve"> para</w:t>
      </w:r>
      <w:r w:rsidR="003B5693" w:rsidRPr="003B5693">
        <w:rPr>
          <w:rFonts w:ascii="Arial" w:hAnsi="Arial" w:cs="Arial"/>
          <w:sz w:val="26"/>
          <w:szCs w:val="26"/>
        </w:rPr>
        <w:t xml:space="preserve"> garantizar el derecho de acceso a la justicia a</w:t>
      </w:r>
      <w:r w:rsidR="003B5693">
        <w:rPr>
          <w:rFonts w:ascii="Arial" w:hAnsi="Arial" w:cs="Arial"/>
          <w:sz w:val="26"/>
          <w:szCs w:val="26"/>
        </w:rPr>
        <w:t xml:space="preserve"> las</w:t>
      </w:r>
      <w:r w:rsidR="003B5693" w:rsidRPr="003B5693">
        <w:rPr>
          <w:rFonts w:ascii="Arial" w:hAnsi="Arial" w:cs="Arial"/>
          <w:sz w:val="26"/>
          <w:szCs w:val="26"/>
        </w:rPr>
        <w:t xml:space="preserve"> personas con discapacidad</w:t>
      </w:r>
      <w:r w:rsidR="003B5693">
        <w:rPr>
          <w:rFonts w:ascii="Arial" w:hAnsi="Arial" w:cs="Arial"/>
          <w:sz w:val="26"/>
          <w:szCs w:val="26"/>
        </w:rPr>
        <w:t xml:space="preserve"> y</w:t>
      </w:r>
      <w:r w:rsidR="003B5693" w:rsidRPr="003B5693">
        <w:rPr>
          <w:rFonts w:ascii="Arial" w:hAnsi="Arial" w:cs="Arial"/>
          <w:sz w:val="26"/>
          <w:szCs w:val="26"/>
        </w:rPr>
        <w:t xml:space="preserve"> a los pueblos y comunidades indígenas</w:t>
      </w:r>
      <w:r w:rsidR="00BD5BA8">
        <w:rPr>
          <w:rFonts w:ascii="Arial" w:hAnsi="Arial" w:cs="Arial"/>
          <w:sz w:val="26"/>
          <w:szCs w:val="26"/>
        </w:rPr>
        <w:t>.</w:t>
      </w:r>
    </w:p>
    <w:p w:rsidR="006F2D1C" w:rsidRPr="001349C2" w:rsidRDefault="006F2D1C" w:rsidP="001349C2">
      <w:pPr>
        <w:pStyle w:val="Prrafodelista"/>
        <w:spacing w:after="360" w:line="360" w:lineRule="auto"/>
        <w:ind w:left="0"/>
        <w:jc w:val="both"/>
        <w:rPr>
          <w:rFonts w:ascii="Arial" w:eastAsia="Times New Roman" w:hAnsi="Arial" w:cs="Arial"/>
          <w:sz w:val="26"/>
          <w:szCs w:val="26"/>
          <w:lang w:eastAsia="es-MX"/>
        </w:rPr>
      </w:pPr>
    </w:p>
    <w:p w:rsidR="008C2001" w:rsidRPr="001349C2" w:rsidRDefault="006647E4" w:rsidP="004B0EA1">
      <w:pPr>
        <w:pStyle w:val="Prrafodelista"/>
        <w:numPr>
          <w:ilvl w:val="0"/>
          <w:numId w:val="1"/>
        </w:numPr>
        <w:spacing w:after="360" w:line="360" w:lineRule="auto"/>
        <w:ind w:left="0" w:hanging="567"/>
        <w:jc w:val="both"/>
        <w:rPr>
          <w:rFonts w:ascii="Arial" w:eastAsia="Times New Roman" w:hAnsi="Arial" w:cs="Arial"/>
          <w:sz w:val="26"/>
          <w:szCs w:val="26"/>
          <w:lang w:eastAsia="es-MX"/>
        </w:rPr>
      </w:pPr>
      <w:r>
        <w:rPr>
          <w:rFonts w:ascii="Arial" w:hAnsi="Arial" w:cs="Arial"/>
          <w:sz w:val="26"/>
          <w:szCs w:val="26"/>
        </w:rPr>
        <w:t>El</w:t>
      </w:r>
      <w:r w:rsidR="00D374BD">
        <w:rPr>
          <w:rFonts w:ascii="Arial" w:hAnsi="Arial" w:cs="Arial"/>
          <w:sz w:val="26"/>
          <w:szCs w:val="26"/>
        </w:rPr>
        <w:t xml:space="preserve"> mismo día</w:t>
      </w:r>
      <w:r w:rsidR="006F2D1C">
        <w:rPr>
          <w:rFonts w:ascii="Arial" w:hAnsi="Arial" w:cs="Arial"/>
          <w:sz w:val="26"/>
          <w:szCs w:val="26"/>
        </w:rPr>
        <w:t xml:space="preserve"> el Congreso del Estado de Chihuahua aprobó el </w:t>
      </w:r>
      <w:r w:rsidR="006F2D1C" w:rsidRPr="001349C2">
        <w:rPr>
          <w:rFonts w:ascii="Arial" w:hAnsi="Arial" w:cs="Arial"/>
          <w:b/>
          <w:sz w:val="26"/>
          <w:szCs w:val="26"/>
        </w:rPr>
        <w:t xml:space="preserve">Decreto </w:t>
      </w:r>
      <w:r w:rsidR="006F2D1C" w:rsidRPr="00F55D37">
        <w:rPr>
          <w:rFonts w:ascii="Arial" w:eastAsia="Times New Roman" w:hAnsi="Arial" w:cs="Arial"/>
          <w:b/>
          <w:sz w:val="26"/>
          <w:szCs w:val="26"/>
          <w:lang w:eastAsia="es-MX"/>
        </w:rPr>
        <w:t>N°</w:t>
      </w:r>
      <w:r w:rsidR="006F2D1C" w:rsidRPr="00F55D37">
        <w:rPr>
          <w:rFonts w:ascii="Arial" w:hAnsi="Arial" w:cs="Arial"/>
          <w:b/>
          <w:sz w:val="26"/>
          <w:szCs w:val="26"/>
        </w:rPr>
        <w:t xml:space="preserve"> </w:t>
      </w:r>
      <w:r w:rsidR="006F2D1C">
        <w:rPr>
          <w:rFonts w:ascii="Arial" w:hAnsi="Arial" w:cs="Arial"/>
          <w:b/>
          <w:sz w:val="26"/>
          <w:szCs w:val="26"/>
        </w:rPr>
        <w:t>LXVI/RFLEY/0666</w:t>
      </w:r>
      <w:r w:rsidR="006F2D1C" w:rsidRPr="00F55D37">
        <w:rPr>
          <w:rFonts w:ascii="Arial" w:hAnsi="Arial" w:cs="Arial"/>
          <w:b/>
          <w:sz w:val="26"/>
          <w:szCs w:val="26"/>
        </w:rPr>
        <w:t>/2020 III P.E.</w:t>
      </w:r>
      <w:r w:rsidR="006F2D1C">
        <w:rPr>
          <w:rFonts w:ascii="Arial" w:hAnsi="Arial" w:cs="Arial"/>
          <w:sz w:val="26"/>
          <w:szCs w:val="26"/>
        </w:rPr>
        <w:t>, por medio del cual</w:t>
      </w:r>
      <w:r w:rsidR="00D374BD">
        <w:rPr>
          <w:rFonts w:ascii="Arial" w:hAnsi="Arial" w:cs="Arial"/>
          <w:sz w:val="26"/>
          <w:szCs w:val="26"/>
        </w:rPr>
        <w:t xml:space="preserve"> se adicion</w:t>
      </w:r>
      <w:r w:rsidR="007B0BFA">
        <w:rPr>
          <w:rFonts w:ascii="Arial" w:hAnsi="Arial" w:cs="Arial"/>
          <w:sz w:val="26"/>
          <w:szCs w:val="26"/>
        </w:rPr>
        <w:t>ó</w:t>
      </w:r>
      <w:r w:rsidR="00D374BD">
        <w:rPr>
          <w:rFonts w:ascii="Arial" w:hAnsi="Arial" w:cs="Arial"/>
          <w:sz w:val="26"/>
          <w:szCs w:val="26"/>
        </w:rPr>
        <w:t xml:space="preserve"> un párrafo tercero al artículo 18 de la Ley de Derechos de los Pueblos Indígenas del Estado de Chihuahua.</w:t>
      </w:r>
      <w:r w:rsidR="00BD5BA8">
        <w:rPr>
          <w:rFonts w:ascii="Arial" w:hAnsi="Arial" w:cs="Arial"/>
          <w:sz w:val="26"/>
          <w:szCs w:val="26"/>
        </w:rPr>
        <w:t xml:space="preserve"> La adición obligaba</w:t>
      </w:r>
      <w:r w:rsidR="00AF2D8D">
        <w:rPr>
          <w:rFonts w:ascii="Arial" w:hAnsi="Arial" w:cs="Arial"/>
          <w:sz w:val="26"/>
          <w:szCs w:val="26"/>
        </w:rPr>
        <w:t xml:space="preserve"> a las autoridades estatales</w:t>
      </w:r>
      <w:r w:rsidR="00BD5BA8">
        <w:rPr>
          <w:rFonts w:ascii="Arial" w:hAnsi="Arial" w:cs="Arial"/>
          <w:sz w:val="26"/>
          <w:szCs w:val="26"/>
        </w:rPr>
        <w:t xml:space="preserve"> a informar a los pueblos y comunidades indígenas en su lengua materna</w:t>
      </w:r>
      <w:r w:rsidR="00BD5BA8" w:rsidRPr="00BD5BA8">
        <w:rPr>
          <w:rFonts w:ascii="Arial" w:hAnsi="Arial" w:cs="Arial"/>
          <w:sz w:val="26"/>
          <w:szCs w:val="26"/>
        </w:rPr>
        <w:t xml:space="preserve"> </w:t>
      </w:r>
      <w:r w:rsidR="00BD5BA8">
        <w:rPr>
          <w:rFonts w:ascii="Arial" w:hAnsi="Arial" w:cs="Arial"/>
          <w:sz w:val="26"/>
          <w:szCs w:val="26"/>
        </w:rPr>
        <w:t xml:space="preserve">diversas cuestiones </w:t>
      </w:r>
      <w:r w:rsidR="00222BEF">
        <w:rPr>
          <w:rFonts w:ascii="Arial" w:hAnsi="Arial" w:cs="Arial"/>
          <w:sz w:val="26"/>
          <w:szCs w:val="26"/>
        </w:rPr>
        <w:t>relacionadas con la</w:t>
      </w:r>
      <w:r w:rsidR="00BD5BA8">
        <w:rPr>
          <w:rFonts w:ascii="Arial" w:hAnsi="Arial" w:cs="Arial"/>
          <w:sz w:val="26"/>
          <w:szCs w:val="26"/>
        </w:rPr>
        <w:t xml:space="preserve"> salud.</w:t>
      </w:r>
    </w:p>
    <w:p w:rsidR="008C2001" w:rsidRPr="001349C2" w:rsidRDefault="008C2001" w:rsidP="001349C2">
      <w:pPr>
        <w:pStyle w:val="Prrafodelista"/>
        <w:spacing w:after="360" w:line="360" w:lineRule="auto"/>
        <w:ind w:left="0"/>
        <w:jc w:val="both"/>
        <w:rPr>
          <w:rFonts w:ascii="Arial" w:eastAsia="Times New Roman" w:hAnsi="Arial" w:cs="Arial"/>
          <w:sz w:val="26"/>
          <w:szCs w:val="26"/>
          <w:lang w:eastAsia="es-MX"/>
        </w:rPr>
      </w:pPr>
    </w:p>
    <w:p w:rsidR="006F2D1C" w:rsidRPr="001349C2" w:rsidRDefault="008C2001" w:rsidP="004B0EA1">
      <w:pPr>
        <w:pStyle w:val="Prrafodelista"/>
        <w:numPr>
          <w:ilvl w:val="0"/>
          <w:numId w:val="1"/>
        </w:numPr>
        <w:spacing w:after="360" w:line="360" w:lineRule="auto"/>
        <w:ind w:left="0" w:hanging="567"/>
        <w:jc w:val="both"/>
        <w:rPr>
          <w:rFonts w:ascii="Arial" w:eastAsia="Times New Roman" w:hAnsi="Arial" w:cs="Arial"/>
          <w:sz w:val="26"/>
          <w:szCs w:val="26"/>
          <w:lang w:eastAsia="es-MX"/>
        </w:rPr>
      </w:pPr>
      <w:r>
        <w:rPr>
          <w:rFonts w:ascii="Arial" w:hAnsi="Arial" w:cs="Arial"/>
          <w:sz w:val="26"/>
          <w:szCs w:val="26"/>
        </w:rPr>
        <w:t xml:space="preserve">El cuatro de febrero siguiente la Diputación Permanente del Congreso del Estado de Chihuahua </w:t>
      </w:r>
      <w:r w:rsidR="0040216C">
        <w:rPr>
          <w:rFonts w:ascii="Arial" w:hAnsi="Arial" w:cs="Arial"/>
          <w:sz w:val="26"/>
          <w:szCs w:val="26"/>
        </w:rPr>
        <w:t>expidió</w:t>
      </w:r>
      <w:r>
        <w:rPr>
          <w:rFonts w:ascii="Arial" w:hAnsi="Arial" w:cs="Arial"/>
          <w:sz w:val="26"/>
          <w:szCs w:val="26"/>
        </w:rPr>
        <w:t xml:space="preserve"> el </w:t>
      </w:r>
      <w:r w:rsidRPr="00F55D37">
        <w:rPr>
          <w:rFonts w:ascii="Arial" w:hAnsi="Arial" w:cs="Arial"/>
          <w:b/>
          <w:sz w:val="26"/>
          <w:szCs w:val="26"/>
        </w:rPr>
        <w:t xml:space="preserve">Decreto </w:t>
      </w:r>
      <w:r w:rsidRPr="00F55D37">
        <w:rPr>
          <w:rFonts w:ascii="Arial" w:eastAsia="Times New Roman" w:hAnsi="Arial" w:cs="Arial"/>
          <w:b/>
          <w:sz w:val="26"/>
          <w:szCs w:val="26"/>
          <w:lang w:eastAsia="es-MX"/>
        </w:rPr>
        <w:t>N°</w:t>
      </w:r>
      <w:r w:rsidRPr="00F55D37">
        <w:rPr>
          <w:rFonts w:ascii="Arial" w:hAnsi="Arial" w:cs="Arial"/>
          <w:b/>
          <w:sz w:val="26"/>
          <w:szCs w:val="26"/>
        </w:rPr>
        <w:t xml:space="preserve"> </w:t>
      </w:r>
      <w:r>
        <w:rPr>
          <w:rFonts w:ascii="Arial" w:hAnsi="Arial" w:cs="Arial"/>
          <w:b/>
          <w:sz w:val="26"/>
          <w:szCs w:val="26"/>
        </w:rPr>
        <w:t>LXVI/DRFCT/0688/2020 I</w:t>
      </w:r>
      <w:r w:rsidRPr="00F55D37">
        <w:rPr>
          <w:rFonts w:ascii="Arial" w:hAnsi="Arial" w:cs="Arial"/>
          <w:b/>
          <w:sz w:val="26"/>
          <w:szCs w:val="26"/>
        </w:rPr>
        <w:t xml:space="preserve"> </w:t>
      </w:r>
      <w:r>
        <w:rPr>
          <w:rFonts w:ascii="Arial" w:hAnsi="Arial" w:cs="Arial"/>
          <w:b/>
          <w:sz w:val="26"/>
          <w:szCs w:val="26"/>
        </w:rPr>
        <w:t>D</w:t>
      </w:r>
      <w:r w:rsidRPr="00F55D37">
        <w:rPr>
          <w:rFonts w:ascii="Arial" w:hAnsi="Arial" w:cs="Arial"/>
          <w:b/>
          <w:sz w:val="26"/>
          <w:szCs w:val="26"/>
        </w:rPr>
        <w:t>.</w:t>
      </w:r>
      <w:r>
        <w:rPr>
          <w:rFonts w:ascii="Arial" w:hAnsi="Arial" w:cs="Arial"/>
          <w:b/>
          <w:sz w:val="26"/>
          <w:szCs w:val="26"/>
        </w:rPr>
        <w:t>P</w:t>
      </w:r>
      <w:r w:rsidRPr="00F55D37">
        <w:rPr>
          <w:rFonts w:ascii="Arial" w:hAnsi="Arial" w:cs="Arial"/>
          <w:b/>
          <w:sz w:val="26"/>
          <w:szCs w:val="26"/>
        </w:rPr>
        <w:t>.</w:t>
      </w:r>
      <w:r>
        <w:rPr>
          <w:rFonts w:ascii="Arial" w:hAnsi="Arial" w:cs="Arial"/>
          <w:sz w:val="26"/>
          <w:szCs w:val="26"/>
        </w:rPr>
        <w:t>, por medio del cual se declara</w:t>
      </w:r>
      <w:r w:rsidR="007B0BFA">
        <w:rPr>
          <w:rFonts w:ascii="Arial" w:hAnsi="Arial" w:cs="Arial"/>
          <w:sz w:val="26"/>
          <w:szCs w:val="26"/>
        </w:rPr>
        <w:t>ro</w:t>
      </w:r>
      <w:r>
        <w:rPr>
          <w:rFonts w:ascii="Arial" w:hAnsi="Arial" w:cs="Arial"/>
          <w:sz w:val="26"/>
          <w:szCs w:val="26"/>
        </w:rPr>
        <w:t>n aprobadas las reformas a</w:t>
      </w:r>
      <w:r w:rsidR="007B0BFA">
        <w:rPr>
          <w:rFonts w:ascii="Arial" w:hAnsi="Arial" w:cs="Arial"/>
          <w:sz w:val="26"/>
          <w:szCs w:val="26"/>
        </w:rPr>
        <w:t>l artículo 9 de</w:t>
      </w:r>
      <w:r>
        <w:rPr>
          <w:rFonts w:ascii="Arial" w:hAnsi="Arial" w:cs="Arial"/>
          <w:sz w:val="26"/>
          <w:szCs w:val="26"/>
        </w:rPr>
        <w:t xml:space="preserve"> la Constitución Estatal (</w:t>
      </w:r>
      <w:r w:rsidR="00AF2D8D">
        <w:rPr>
          <w:rFonts w:ascii="Arial" w:hAnsi="Arial" w:cs="Arial"/>
          <w:sz w:val="26"/>
          <w:szCs w:val="26"/>
        </w:rPr>
        <w:t xml:space="preserve">véase </w:t>
      </w:r>
      <w:r w:rsidRPr="001349C2">
        <w:rPr>
          <w:rFonts w:ascii="Arial" w:hAnsi="Arial" w:cs="Arial"/>
          <w:i/>
          <w:sz w:val="26"/>
          <w:szCs w:val="26"/>
        </w:rPr>
        <w:t>supra</w:t>
      </w:r>
      <w:r>
        <w:rPr>
          <w:rFonts w:ascii="Arial" w:hAnsi="Arial" w:cs="Arial"/>
          <w:sz w:val="26"/>
          <w:szCs w:val="26"/>
        </w:rPr>
        <w:t xml:space="preserve"> párr. 1) y se remit</w:t>
      </w:r>
      <w:r w:rsidR="007B0BFA">
        <w:rPr>
          <w:rFonts w:ascii="Arial" w:hAnsi="Arial" w:cs="Arial"/>
          <w:sz w:val="26"/>
          <w:szCs w:val="26"/>
        </w:rPr>
        <w:t>i</w:t>
      </w:r>
      <w:r>
        <w:rPr>
          <w:rFonts w:ascii="Arial" w:hAnsi="Arial" w:cs="Arial"/>
          <w:sz w:val="26"/>
          <w:szCs w:val="26"/>
        </w:rPr>
        <w:t>e</w:t>
      </w:r>
      <w:r w:rsidR="007B0BFA">
        <w:rPr>
          <w:rFonts w:ascii="Arial" w:hAnsi="Arial" w:cs="Arial"/>
          <w:sz w:val="26"/>
          <w:szCs w:val="26"/>
        </w:rPr>
        <w:t>ro</w:t>
      </w:r>
      <w:r>
        <w:rPr>
          <w:rFonts w:ascii="Arial" w:hAnsi="Arial" w:cs="Arial"/>
          <w:sz w:val="26"/>
          <w:szCs w:val="26"/>
        </w:rPr>
        <w:t xml:space="preserve">n al </w:t>
      </w:r>
      <w:r w:rsidR="00AD2AA1">
        <w:rPr>
          <w:rFonts w:ascii="Arial" w:hAnsi="Arial" w:cs="Arial"/>
          <w:sz w:val="26"/>
          <w:szCs w:val="26"/>
        </w:rPr>
        <w:t>T</w:t>
      </w:r>
      <w:r>
        <w:rPr>
          <w:rFonts w:ascii="Arial" w:hAnsi="Arial" w:cs="Arial"/>
          <w:sz w:val="26"/>
          <w:szCs w:val="26"/>
        </w:rPr>
        <w:t>itular del</w:t>
      </w:r>
      <w:r w:rsidR="00AD2AA1">
        <w:rPr>
          <w:rFonts w:ascii="Arial" w:hAnsi="Arial" w:cs="Arial"/>
          <w:sz w:val="26"/>
          <w:szCs w:val="26"/>
        </w:rPr>
        <w:t xml:space="preserve"> Poder</w:t>
      </w:r>
      <w:r>
        <w:rPr>
          <w:rFonts w:ascii="Arial" w:hAnsi="Arial" w:cs="Arial"/>
          <w:sz w:val="26"/>
          <w:szCs w:val="26"/>
        </w:rPr>
        <w:t xml:space="preserve"> Ejecutivo Estatal para su publicación</w:t>
      </w:r>
      <w:r w:rsidR="0040216C">
        <w:rPr>
          <w:rFonts w:ascii="Arial" w:hAnsi="Arial" w:cs="Arial"/>
          <w:sz w:val="26"/>
          <w:szCs w:val="26"/>
        </w:rPr>
        <w:t xml:space="preserve"> en </w:t>
      </w:r>
      <w:r w:rsidR="002454DE">
        <w:rPr>
          <w:rFonts w:ascii="Arial" w:hAnsi="Arial" w:cs="Arial"/>
          <w:sz w:val="26"/>
          <w:szCs w:val="26"/>
        </w:rPr>
        <w:t xml:space="preserve">el </w:t>
      </w:r>
      <w:r w:rsidR="007B0BFA">
        <w:rPr>
          <w:rFonts w:ascii="Arial" w:hAnsi="Arial" w:cs="Arial"/>
          <w:sz w:val="26"/>
          <w:szCs w:val="26"/>
        </w:rPr>
        <w:t>Periódico Oficial</w:t>
      </w:r>
      <w:r w:rsidR="007B0BFA" w:rsidDel="007B0BFA">
        <w:rPr>
          <w:rFonts w:ascii="Arial" w:hAnsi="Arial" w:cs="Arial"/>
          <w:sz w:val="26"/>
          <w:szCs w:val="26"/>
        </w:rPr>
        <w:t xml:space="preserve"> </w:t>
      </w:r>
      <w:r w:rsidR="007B0BFA">
        <w:rPr>
          <w:rFonts w:ascii="Arial" w:hAnsi="Arial" w:cs="Arial"/>
          <w:sz w:val="26"/>
          <w:szCs w:val="26"/>
        </w:rPr>
        <w:t>del Estado</w:t>
      </w:r>
      <w:r w:rsidR="0040216C">
        <w:rPr>
          <w:rFonts w:ascii="Arial" w:hAnsi="Arial" w:cs="Arial"/>
          <w:sz w:val="26"/>
          <w:szCs w:val="26"/>
        </w:rPr>
        <w:t>.</w:t>
      </w:r>
    </w:p>
    <w:p w:rsidR="0071652A" w:rsidRPr="00D374BD" w:rsidRDefault="0071652A">
      <w:pPr>
        <w:pStyle w:val="Prrafodelista"/>
        <w:spacing w:after="360" w:line="360" w:lineRule="auto"/>
        <w:ind w:left="0"/>
        <w:jc w:val="both"/>
        <w:rPr>
          <w:rFonts w:ascii="Arial" w:eastAsia="Times New Roman" w:hAnsi="Arial" w:cs="Arial"/>
          <w:sz w:val="26"/>
          <w:szCs w:val="26"/>
          <w:lang w:eastAsia="es-MX"/>
        </w:rPr>
      </w:pPr>
    </w:p>
    <w:p w:rsidR="00B053D7" w:rsidRDefault="001C39A8" w:rsidP="00366C1C">
      <w:pPr>
        <w:pStyle w:val="Prrafodelista"/>
        <w:numPr>
          <w:ilvl w:val="0"/>
          <w:numId w:val="1"/>
        </w:numPr>
        <w:spacing w:after="360" w:line="360" w:lineRule="auto"/>
        <w:ind w:left="0" w:firstLine="0"/>
        <w:jc w:val="both"/>
        <w:rPr>
          <w:rFonts w:ascii="Arial" w:eastAsia="Times New Roman" w:hAnsi="Arial" w:cs="Arial"/>
          <w:sz w:val="26"/>
          <w:szCs w:val="26"/>
          <w:lang w:eastAsia="es-MX"/>
        </w:rPr>
      </w:pPr>
      <w:r>
        <w:rPr>
          <w:rFonts w:ascii="Arial" w:eastAsia="Times New Roman" w:hAnsi="Arial" w:cs="Arial"/>
          <w:sz w:val="26"/>
          <w:szCs w:val="26"/>
          <w:lang w:eastAsia="es-MX"/>
        </w:rPr>
        <w:lastRenderedPageBreak/>
        <w:t>E</w:t>
      </w:r>
      <w:r w:rsidR="00B053D7">
        <w:rPr>
          <w:rFonts w:ascii="Arial" w:eastAsia="Times New Roman" w:hAnsi="Arial" w:cs="Arial"/>
          <w:sz w:val="26"/>
          <w:szCs w:val="26"/>
          <w:lang w:eastAsia="es-MX"/>
        </w:rPr>
        <w:t xml:space="preserve">l cuatro de marzo de dos mil veinte </w:t>
      </w:r>
      <w:r w:rsidR="00ED665B">
        <w:rPr>
          <w:rFonts w:ascii="Arial" w:eastAsia="Times New Roman" w:hAnsi="Arial" w:cs="Arial"/>
          <w:sz w:val="26"/>
          <w:szCs w:val="26"/>
          <w:lang w:eastAsia="es-MX"/>
        </w:rPr>
        <w:t>los</w:t>
      </w:r>
      <w:r w:rsidR="008A1CE8">
        <w:rPr>
          <w:rFonts w:ascii="Arial" w:eastAsia="Times New Roman" w:hAnsi="Arial" w:cs="Arial"/>
          <w:sz w:val="26"/>
          <w:szCs w:val="26"/>
          <w:lang w:eastAsia="es-MX"/>
        </w:rPr>
        <w:t xml:space="preserve"> cinco</w:t>
      </w:r>
      <w:r w:rsidR="00ED665B">
        <w:rPr>
          <w:rFonts w:ascii="Arial" w:eastAsia="Times New Roman" w:hAnsi="Arial" w:cs="Arial"/>
          <w:sz w:val="26"/>
          <w:szCs w:val="26"/>
          <w:lang w:eastAsia="es-MX"/>
        </w:rPr>
        <w:t xml:space="preserve"> decretos</w:t>
      </w:r>
      <w:r w:rsidR="008A1CE8">
        <w:rPr>
          <w:rFonts w:ascii="Arial" w:eastAsia="Times New Roman" w:hAnsi="Arial" w:cs="Arial"/>
          <w:sz w:val="26"/>
          <w:szCs w:val="26"/>
          <w:lang w:eastAsia="es-MX"/>
        </w:rPr>
        <w:t xml:space="preserve"> </w:t>
      </w:r>
      <w:r w:rsidR="00F93728">
        <w:rPr>
          <w:rFonts w:ascii="Arial" w:eastAsia="Times New Roman" w:hAnsi="Arial" w:cs="Arial"/>
          <w:sz w:val="26"/>
          <w:szCs w:val="26"/>
          <w:lang w:eastAsia="es-MX"/>
        </w:rPr>
        <w:t xml:space="preserve">recién </w:t>
      </w:r>
      <w:r w:rsidR="008A1CE8">
        <w:rPr>
          <w:rFonts w:ascii="Arial" w:eastAsia="Times New Roman" w:hAnsi="Arial" w:cs="Arial"/>
          <w:sz w:val="26"/>
          <w:szCs w:val="26"/>
          <w:lang w:eastAsia="es-MX"/>
        </w:rPr>
        <w:t>referidos</w:t>
      </w:r>
      <w:r w:rsidR="008C2001">
        <w:rPr>
          <w:rFonts w:ascii="Arial" w:eastAsia="Times New Roman" w:hAnsi="Arial" w:cs="Arial"/>
          <w:sz w:val="26"/>
          <w:szCs w:val="26"/>
          <w:lang w:eastAsia="es-MX"/>
        </w:rPr>
        <w:t xml:space="preserve"> </w:t>
      </w:r>
      <w:r w:rsidR="008A1CE8">
        <w:rPr>
          <w:rFonts w:ascii="Arial" w:eastAsia="Times New Roman" w:hAnsi="Arial" w:cs="Arial"/>
          <w:sz w:val="26"/>
          <w:szCs w:val="26"/>
          <w:lang w:eastAsia="es-MX"/>
        </w:rPr>
        <w:t>fueron</w:t>
      </w:r>
      <w:r w:rsidR="008C2001">
        <w:rPr>
          <w:rFonts w:ascii="Arial" w:eastAsia="Times New Roman" w:hAnsi="Arial" w:cs="Arial"/>
          <w:sz w:val="26"/>
          <w:szCs w:val="26"/>
          <w:lang w:eastAsia="es-MX"/>
        </w:rPr>
        <w:t xml:space="preserve"> publica</w:t>
      </w:r>
      <w:r w:rsidR="008A1CE8">
        <w:rPr>
          <w:rFonts w:ascii="Arial" w:eastAsia="Times New Roman" w:hAnsi="Arial" w:cs="Arial"/>
          <w:sz w:val="26"/>
          <w:szCs w:val="26"/>
          <w:lang w:eastAsia="es-MX"/>
        </w:rPr>
        <w:t>dos</w:t>
      </w:r>
      <w:r w:rsidR="00B053D7">
        <w:rPr>
          <w:rFonts w:ascii="Arial" w:eastAsia="Times New Roman" w:hAnsi="Arial" w:cs="Arial"/>
          <w:sz w:val="26"/>
          <w:szCs w:val="26"/>
          <w:lang w:eastAsia="es-MX"/>
        </w:rPr>
        <w:t xml:space="preserve"> en el Periódico Oficial del Estado de Chihuahua</w:t>
      </w:r>
      <w:r w:rsidR="00ED665B" w:rsidRPr="00894B94">
        <w:rPr>
          <w:rStyle w:val="Refdenotaalpie"/>
          <w:rFonts w:ascii="Arial" w:hAnsi="Arial" w:cs="Arial"/>
          <w:sz w:val="26"/>
          <w:szCs w:val="26"/>
        </w:rPr>
        <w:footnoteReference w:id="1"/>
      </w:r>
      <w:r w:rsidR="00B053D7">
        <w:rPr>
          <w:rFonts w:ascii="Arial" w:eastAsia="Times New Roman" w:hAnsi="Arial" w:cs="Arial"/>
          <w:sz w:val="26"/>
          <w:szCs w:val="26"/>
          <w:lang w:eastAsia="es-MX"/>
        </w:rPr>
        <w:t>.</w:t>
      </w:r>
    </w:p>
    <w:p w:rsidR="00F76290" w:rsidRPr="00F76290" w:rsidRDefault="00F76290" w:rsidP="00F76290">
      <w:pPr>
        <w:pStyle w:val="Prrafodelista"/>
        <w:spacing w:after="360" w:line="360" w:lineRule="auto"/>
        <w:ind w:left="0"/>
        <w:jc w:val="both"/>
        <w:rPr>
          <w:rFonts w:ascii="Arial" w:eastAsia="Times New Roman" w:hAnsi="Arial" w:cs="Arial"/>
          <w:sz w:val="26"/>
          <w:szCs w:val="26"/>
          <w:lang w:eastAsia="es-MX"/>
        </w:rPr>
      </w:pPr>
    </w:p>
    <w:p w:rsidR="00252C3B" w:rsidRPr="00252C3B" w:rsidRDefault="003520C4" w:rsidP="00366C1C">
      <w:pPr>
        <w:pStyle w:val="Prrafodelista"/>
        <w:numPr>
          <w:ilvl w:val="0"/>
          <w:numId w:val="1"/>
        </w:numPr>
        <w:spacing w:after="360" w:line="360" w:lineRule="auto"/>
        <w:ind w:left="0" w:firstLine="0"/>
        <w:jc w:val="both"/>
        <w:rPr>
          <w:rFonts w:ascii="Arial" w:eastAsia="Times New Roman" w:hAnsi="Arial" w:cs="Arial"/>
          <w:sz w:val="26"/>
          <w:szCs w:val="26"/>
          <w:lang w:eastAsia="es-MX"/>
        </w:rPr>
      </w:pPr>
      <w:r w:rsidRPr="006E23F2">
        <w:rPr>
          <w:rFonts w:ascii="Arial" w:hAnsi="Arial" w:cs="Arial"/>
          <w:b/>
          <w:sz w:val="26"/>
          <w:szCs w:val="26"/>
        </w:rPr>
        <w:t>Presentación de la</w:t>
      </w:r>
      <w:r w:rsidR="005F6335">
        <w:rPr>
          <w:rFonts w:ascii="Arial" w:hAnsi="Arial" w:cs="Arial"/>
          <w:b/>
          <w:sz w:val="26"/>
          <w:szCs w:val="26"/>
        </w:rPr>
        <w:t xml:space="preserve"> </w:t>
      </w:r>
      <w:r w:rsidRPr="006E23F2">
        <w:rPr>
          <w:rFonts w:ascii="Arial" w:hAnsi="Arial" w:cs="Arial"/>
          <w:b/>
          <w:sz w:val="26"/>
          <w:szCs w:val="26"/>
        </w:rPr>
        <w:t>demanda</w:t>
      </w:r>
      <w:r>
        <w:rPr>
          <w:rFonts w:ascii="Arial" w:hAnsi="Arial" w:cs="Arial"/>
          <w:b/>
          <w:sz w:val="26"/>
          <w:szCs w:val="26"/>
        </w:rPr>
        <w:t>, trámite y admisión</w:t>
      </w:r>
      <w:r w:rsidRPr="006E23F2">
        <w:rPr>
          <w:rFonts w:ascii="Arial" w:hAnsi="Arial" w:cs="Arial"/>
          <w:b/>
          <w:sz w:val="26"/>
          <w:szCs w:val="26"/>
        </w:rPr>
        <w:t xml:space="preserve">. </w:t>
      </w:r>
      <w:r>
        <w:rPr>
          <w:rFonts w:ascii="Arial" w:hAnsi="Arial" w:cs="Arial"/>
          <w:sz w:val="26"/>
          <w:szCs w:val="26"/>
        </w:rPr>
        <w:t>El</w:t>
      </w:r>
      <w:r w:rsidRPr="006E23F2">
        <w:rPr>
          <w:rFonts w:ascii="Arial" w:hAnsi="Arial" w:cs="Arial"/>
          <w:b/>
          <w:sz w:val="26"/>
          <w:szCs w:val="26"/>
        </w:rPr>
        <w:t xml:space="preserve"> </w:t>
      </w:r>
      <w:r w:rsidR="005F336A">
        <w:rPr>
          <w:rFonts w:ascii="Arial" w:hAnsi="Arial" w:cs="Arial"/>
          <w:sz w:val="26"/>
          <w:szCs w:val="26"/>
        </w:rPr>
        <w:t>tres de agosto</w:t>
      </w:r>
      <w:r>
        <w:rPr>
          <w:rFonts w:ascii="Arial" w:hAnsi="Arial" w:cs="Arial"/>
          <w:sz w:val="26"/>
          <w:szCs w:val="26"/>
        </w:rPr>
        <w:t xml:space="preserve"> de dos mil veinte </w:t>
      </w:r>
      <w:r w:rsidR="005F336A">
        <w:rPr>
          <w:rFonts w:ascii="Arial" w:hAnsi="Arial" w:cs="Arial"/>
          <w:sz w:val="26"/>
          <w:szCs w:val="26"/>
        </w:rPr>
        <w:t>la Comisión Nacional de los Derechos Humanos</w:t>
      </w:r>
      <w:r>
        <w:rPr>
          <w:rFonts w:ascii="Arial" w:hAnsi="Arial" w:cs="Arial"/>
          <w:sz w:val="26"/>
          <w:szCs w:val="26"/>
        </w:rPr>
        <w:t xml:space="preserve">, a través de </w:t>
      </w:r>
      <w:r w:rsidR="005F336A">
        <w:rPr>
          <w:rFonts w:ascii="Arial" w:hAnsi="Arial" w:cs="Arial"/>
          <w:sz w:val="26"/>
          <w:szCs w:val="26"/>
        </w:rPr>
        <w:t xml:space="preserve">quien se ostentó como su </w:t>
      </w:r>
      <w:r w:rsidR="001349C2">
        <w:rPr>
          <w:rFonts w:ascii="Arial" w:hAnsi="Arial" w:cs="Arial"/>
          <w:sz w:val="26"/>
          <w:szCs w:val="26"/>
        </w:rPr>
        <w:t>P</w:t>
      </w:r>
      <w:r w:rsidR="005F336A">
        <w:rPr>
          <w:rFonts w:ascii="Arial" w:hAnsi="Arial" w:cs="Arial"/>
          <w:sz w:val="26"/>
          <w:szCs w:val="26"/>
        </w:rPr>
        <w:t xml:space="preserve">residenta, </w:t>
      </w:r>
      <w:r>
        <w:rPr>
          <w:rFonts w:ascii="Arial" w:hAnsi="Arial" w:cs="Arial"/>
          <w:sz w:val="26"/>
          <w:szCs w:val="26"/>
        </w:rPr>
        <w:t xml:space="preserve">promovió acción de inconstitucionalidad en </w:t>
      </w:r>
      <w:r w:rsidRPr="006E23F2">
        <w:rPr>
          <w:rFonts w:ascii="Arial" w:hAnsi="Arial" w:cs="Arial"/>
          <w:sz w:val="26"/>
          <w:szCs w:val="26"/>
        </w:rPr>
        <w:t>contra</w:t>
      </w:r>
      <w:r>
        <w:rPr>
          <w:rFonts w:ascii="Arial" w:hAnsi="Arial" w:cs="Arial"/>
          <w:sz w:val="26"/>
          <w:szCs w:val="26"/>
        </w:rPr>
        <w:t xml:space="preserve"> de</w:t>
      </w:r>
      <w:r w:rsidR="005F336A">
        <w:rPr>
          <w:rFonts w:ascii="Arial" w:hAnsi="Arial" w:cs="Arial"/>
          <w:sz w:val="26"/>
          <w:szCs w:val="26"/>
        </w:rPr>
        <w:t xml:space="preserve"> los </w:t>
      </w:r>
      <w:r>
        <w:rPr>
          <w:rFonts w:ascii="Arial" w:hAnsi="Arial" w:cs="Arial"/>
          <w:sz w:val="26"/>
          <w:szCs w:val="26"/>
        </w:rPr>
        <w:t>Decreto</w:t>
      </w:r>
      <w:r w:rsidR="005F336A">
        <w:rPr>
          <w:rFonts w:ascii="Arial" w:hAnsi="Arial" w:cs="Arial"/>
          <w:sz w:val="26"/>
          <w:szCs w:val="26"/>
        </w:rPr>
        <w:t>s</w:t>
      </w:r>
      <w:r>
        <w:rPr>
          <w:rFonts w:ascii="Arial" w:hAnsi="Arial" w:cs="Arial"/>
          <w:sz w:val="26"/>
          <w:szCs w:val="26"/>
        </w:rPr>
        <w:t xml:space="preserve"> </w:t>
      </w:r>
      <w:r w:rsidR="009E3685">
        <w:rPr>
          <w:rFonts w:ascii="Arial" w:hAnsi="Arial" w:cs="Arial"/>
          <w:sz w:val="26"/>
          <w:szCs w:val="26"/>
        </w:rPr>
        <w:t>N°</w:t>
      </w:r>
      <w:r>
        <w:rPr>
          <w:rFonts w:ascii="Arial" w:hAnsi="Arial" w:cs="Arial"/>
          <w:sz w:val="26"/>
          <w:szCs w:val="26"/>
        </w:rPr>
        <w:t xml:space="preserve"> </w:t>
      </w:r>
      <w:r w:rsidR="005F336A" w:rsidRPr="005F336A">
        <w:rPr>
          <w:rFonts w:ascii="Arial" w:hAnsi="Arial" w:cs="Arial"/>
          <w:sz w:val="26"/>
          <w:szCs w:val="26"/>
          <w:lang w:val="en-US"/>
        </w:rPr>
        <w:t>LXVI/RFCNT/0512/2019 I P.O., LXVI/RFLEY/0513/2019 I P.O., LXVI/RFLEY/0665/2020 III P.E. y LXVI/RFLEY/0666/2020 III P.E.</w:t>
      </w:r>
      <w:r w:rsidR="004C22FE">
        <w:rPr>
          <w:rFonts w:ascii="Arial" w:hAnsi="Arial" w:cs="Arial"/>
          <w:sz w:val="26"/>
          <w:szCs w:val="26"/>
          <w:lang w:val="en-US"/>
        </w:rPr>
        <w:t xml:space="preserve"> (</w:t>
      </w:r>
      <w:r w:rsidR="004C22FE" w:rsidRPr="004C22FE">
        <w:rPr>
          <w:rFonts w:ascii="Arial" w:hAnsi="Arial" w:cs="Arial"/>
          <w:i/>
          <w:sz w:val="26"/>
          <w:szCs w:val="26"/>
          <w:lang w:val="en-US"/>
        </w:rPr>
        <w:t>supra</w:t>
      </w:r>
      <w:r w:rsidR="004C22FE">
        <w:rPr>
          <w:rFonts w:ascii="Arial" w:hAnsi="Arial" w:cs="Arial"/>
          <w:sz w:val="26"/>
          <w:szCs w:val="26"/>
          <w:lang w:val="en-US"/>
        </w:rPr>
        <w:t xml:space="preserve"> párrs. 1</w:t>
      </w:r>
      <w:r w:rsidR="001B11E2">
        <w:rPr>
          <w:rFonts w:ascii="Arial" w:hAnsi="Arial" w:cs="Arial"/>
          <w:sz w:val="26"/>
          <w:szCs w:val="26"/>
          <w:lang w:val="en-US"/>
        </w:rPr>
        <w:t>, 2, 3</w:t>
      </w:r>
      <w:r w:rsidR="004C22FE">
        <w:rPr>
          <w:rFonts w:ascii="Arial" w:hAnsi="Arial" w:cs="Arial"/>
          <w:sz w:val="26"/>
          <w:szCs w:val="26"/>
          <w:lang w:val="en-US"/>
        </w:rPr>
        <w:t xml:space="preserve"> </w:t>
      </w:r>
      <w:r w:rsidR="001B11E2">
        <w:rPr>
          <w:rFonts w:ascii="Arial" w:hAnsi="Arial" w:cs="Arial"/>
          <w:sz w:val="26"/>
          <w:szCs w:val="26"/>
          <w:lang w:val="en-US"/>
        </w:rPr>
        <w:t>y</w:t>
      </w:r>
      <w:r w:rsidR="004C22FE">
        <w:rPr>
          <w:rFonts w:ascii="Arial" w:hAnsi="Arial" w:cs="Arial"/>
          <w:sz w:val="26"/>
          <w:szCs w:val="26"/>
          <w:lang w:val="en-US"/>
        </w:rPr>
        <w:t xml:space="preserve"> 4</w:t>
      </w:r>
      <w:r w:rsidR="00292D00">
        <w:rPr>
          <w:rFonts w:ascii="Arial" w:hAnsi="Arial" w:cs="Arial"/>
          <w:sz w:val="26"/>
          <w:szCs w:val="26"/>
          <w:lang w:val="en-US"/>
        </w:rPr>
        <w:t xml:space="preserve">, </w:t>
      </w:r>
      <w:r w:rsidR="00292D00" w:rsidRPr="00292D00">
        <w:rPr>
          <w:rFonts w:ascii="Arial" w:hAnsi="Arial" w:cs="Arial"/>
          <w:sz w:val="26"/>
          <w:szCs w:val="26"/>
        </w:rPr>
        <w:t>respectivamente</w:t>
      </w:r>
      <w:r w:rsidR="004C22FE">
        <w:rPr>
          <w:rFonts w:ascii="Arial" w:hAnsi="Arial" w:cs="Arial"/>
          <w:sz w:val="26"/>
          <w:szCs w:val="26"/>
          <w:lang w:val="en-US"/>
        </w:rPr>
        <w:t>)</w:t>
      </w:r>
      <w:r w:rsidRPr="00894B94">
        <w:rPr>
          <w:rStyle w:val="Refdenotaalpie"/>
          <w:rFonts w:ascii="Arial" w:hAnsi="Arial" w:cs="Arial"/>
          <w:sz w:val="26"/>
          <w:szCs w:val="26"/>
        </w:rPr>
        <w:footnoteReference w:id="2"/>
      </w:r>
      <w:r w:rsidR="00D12D6A">
        <w:rPr>
          <w:rFonts w:ascii="Arial" w:hAnsi="Arial" w:cs="Arial"/>
          <w:sz w:val="26"/>
          <w:szCs w:val="26"/>
          <w:lang w:val="en-US"/>
        </w:rPr>
        <w:t>.</w:t>
      </w:r>
      <w:r w:rsidRPr="00252C3B">
        <w:rPr>
          <w:rFonts w:ascii="Arial" w:hAnsi="Arial" w:cs="Arial"/>
          <w:sz w:val="26"/>
          <w:szCs w:val="26"/>
          <w:lang w:val="en-US"/>
        </w:rPr>
        <w:t xml:space="preserve"> </w:t>
      </w:r>
      <w:r w:rsidR="004F23B7">
        <w:rPr>
          <w:rFonts w:ascii="Arial" w:hAnsi="Arial" w:cs="Arial"/>
          <w:sz w:val="26"/>
          <w:szCs w:val="26"/>
        </w:rPr>
        <w:t>A</w:t>
      </w:r>
      <w:r>
        <w:rPr>
          <w:rFonts w:ascii="Arial" w:hAnsi="Arial" w:cs="Arial"/>
          <w:sz w:val="26"/>
          <w:szCs w:val="26"/>
        </w:rPr>
        <w:t>dujo</w:t>
      </w:r>
      <w:r w:rsidR="004F23B7">
        <w:rPr>
          <w:rFonts w:ascii="Arial" w:hAnsi="Arial" w:cs="Arial"/>
          <w:sz w:val="26"/>
          <w:szCs w:val="26"/>
        </w:rPr>
        <w:t>, por un lado,</w:t>
      </w:r>
      <w:r>
        <w:rPr>
          <w:rFonts w:ascii="Arial" w:hAnsi="Arial" w:cs="Arial"/>
          <w:sz w:val="26"/>
          <w:szCs w:val="26"/>
        </w:rPr>
        <w:t xml:space="preserve"> que </w:t>
      </w:r>
      <w:r w:rsidR="005005EE">
        <w:rPr>
          <w:rFonts w:ascii="Arial" w:hAnsi="Arial" w:cs="Arial"/>
          <w:sz w:val="26"/>
          <w:szCs w:val="26"/>
        </w:rPr>
        <w:t>tales</w:t>
      </w:r>
      <w:r w:rsidR="001824C0">
        <w:rPr>
          <w:rFonts w:ascii="Arial" w:hAnsi="Arial" w:cs="Arial"/>
          <w:sz w:val="26"/>
          <w:szCs w:val="26"/>
        </w:rPr>
        <w:t xml:space="preserve"> instrumentos</w:t>
      </w:r>
      <w:r w:rsidR="00AD2449">
        <w:rPr>
          <w:rFonts w:ascii="Arial" w:hAnsi="Arial" w:cs="Arial"/>
          <w:sz w:val="26"/>
          <w:szCs w:val="26"/>
        </w:rPr>
        <w:t xml:space="preserve"> legislativos</w:t>
      </w:r>
      <w:r>
        <w:rPr>
          <w:rFonts w:ascii="Arial" w:hAnsi="Arial" w:cs="Arial"/>
          <w:sz w:val="26"/>
          <w:szCs w:val="26"/>
        </w:rPr>
        <w:t xml:space="preserve"> </w:t>
      </w:r>
      <w:r w:rsidR="00252C3B">
        <w:rPr>
          <w:rFonts w:ascii="Arial" w:hAnsi="Arial" w:cs="Arial"/>
          <w:sz w:val="26"/>
          <w:szCs w:val="26"/>
        </w:rPr>
        <w:t>eran contrari</w:t>
      </w:r>
      <w:r w:rsidR="0052616B">
        <w:rPr>
          <w:rFonts w:ascii="Arial" w:hAnsi="Arial" w:cs="Arial"/>
          <w:sz w:val="26"/>
          <w:szCs w:val="26"/>
        </w:rPr>
        <w:t>o</w:t>
      </w:r>
      <w:r w:rsidR="00252C3B">
        <w:rPr>
          <w:rFonts w:ascii="Arial" w:hAnsi="Arial" w:cs="Arial"/>
          <w:sz w:val="26"/>
          <w:szCs w:val="26"/>
        </w:rPr>
        <w:t>s a</w:t>
      </w:r>
      <w:r w:rsidR="005F6335">
        <w:rPr>
          <w:rFonts w:ascii="Arial" w:hAnsi="Arial" w:cs="Arial"/>
          <w:sz w:val="26"/>
          <w:szCs w:val="26"/>
        </w:rPr>
        <w:t xml:space="preserve">l </w:t>
      </w:r>
      <w:r w:rsidR="007109C9">
        <w:rPr>
          <w:rFonts w:ascii="Arial" w:hAnsi="Arial" w:cs="Arial"/>
          <w:sz w:val="26"/>
          <w:szCs w:val="26"/>
        </w:rPr>
        <w:t>art</w:t>
      </w:r>
      <w:r w:rsidR="00636A6F">
        <w:rPr>
          <w:rFonts w:ascii="Arial" w:hAnsi="Arial" w:cs="Arial"/>
          <w:sz w:val="26"/>
          <w:szCs w:val="26"/>
        </w:rPr>
        <w:t>ículo</w:t>
      </w:r>
      <w:r w:rsidR="00FE5D6D">
        <w:rPr>
          <w:rFonts w:ascii="Arial" w:hAnsi="Arial" w:cs="Arial"/>
          <w:sz w:val="26"/>
          <w:szCs w:val="26"/>
        </w:rPr>
        <w:t xml:space="preserve"> </w:t>
      </w:r>
      <w:r w:rsidR="001824C0">
        <w:rPr>
          <w:rFonts w:ascii="Arial" w:hAnsi="Arial" w:cs="Arial"/>
          <w:sz w:val="26"/>
          <w:szCs w:val="26"/>
        </w:rPr>
        <w:t>2° de la Constitución Política de los Estados Unidos Mexicanos (en lo sucesivo “Constitución Federal”)</w:t>
      </w:r>
      <w:r w:rsidR="00404467">
        <w:rPr>
          <w:rFonts w:ascii="Arial" w:hAnsi="Arial" w:cs="Arial"/>
          <w:sz w:val="26"/>
          <w:szCs w:val="26"/>
        </w:rPr>
        <w:t>, así como</w:t>
      </w:r>
      <w:r w:rsidR="00636A6F">
        <w:rPr>
          <w:rFonts w:ascii="Arial" w:hAnsi="Arial" w:cs="Arial"/>
          <w:sz w:val="26"/>
          <w:szCs w:val="26"/>
        </w:rPr>
        <w:t xml:space="preserve"> a los artículos</w:t>
      </w:r>
      <w:r w:rsidR="00226F75">
        <w:rPr>
          <w:rFonts w:ascii="Arial" w:hAnsi="Arial" w:cs="Arial"/>
          <w:sz w:val="26"/>
          <w:szCs w:val="26"/>
        </w:rPr>
        <w:t xml:space="preserve"> 6 </w:t>
      </w:r>
      <w:r w:rsidR="001824C0">
        <w:rPr>
          <w:rFonts w:ascii="Arial" w:hAnsi="Arial" w:cs="Arial"/>
          <w:sz w:val="26"/>
          <w:szCs w:val="26"/>
        </w:rPr>
        <w:t>y</w:t>
      </w:r>
      <w:r w:rsidR="00252C3B">
        <w:rPr>
          <w:rFonts w:ascii="Arial" w:hAnsi="Arial" w:cs="Arial"/>
          <w:sz w:val="26"/>
          <w:szCs w:val="26"/>
        </w:rPr>
        <w:t xml:space="preserve"> </w:t>
      </w:r>
      <w:r w:rsidR="004710E4">
        <w:rPr>
          <w:rFonts w:ascii="Arial" w:hAnsi="Arial" w:cs="Arial"/>
          <w:sz w:val="26"/>
          <w:szCs w:val="26"/>
        </w:rPr>
        <w:t>7</w:t>
      </w:r>
      <w:r w:rsidR="00226F75">
        <w:rPr>
          <w:rFonts w:ascii="Arial" w:hAnsi="Arial" w:cs="Arial"/>
          <w:sz w:val="26"/>
          <w:szCs w:val="26"/>
        </w:rPr>
        <w:t xml:space="preserve"> </w:t>
      </w:r>
      <w:r w:rsidR="00252C3B">
        <w:rPr>
          <w:rFonts w:ascii="Arial" w:hAnsi="Arial" w:cs="Arial"/>
          <w:sz w:val="26"/>
          <w:szCs w:val="26"/>
        </w:rPr>
        <w:t xml:space="preserve">del Convenio 169 </w:t>
      </w:r>
      <w:r w:rsidR="005F6335">
        <w:rPr>
          <w:rFonts w:ascii="Arial" w:hAnsi="Arial" w:cs="Arial"/>
          <w:sz w:val="26"/>
          <w:szCs w:val="26"/>
        </w:rPr>
        <w:t>de la Organización Internacional del Trabajo</w:t>
      </w:r>
      <w:r w:rsidR="001824C0">
        <w:rPr>
          <w:rFonts w:ascii="Arial" w:hAnsi="Arial" w:cs="Arial"/>
          <w:sz w:val="26"/>
          <w:szCs w:val="26"/>
        </w:rPr>
        <w:t xml:space="preserve"> sobre Pueblos Indígenas y Tribales en Países Independientes (en lo sucesivo “Convenio 169 de la OIT”)</w:t>
      </w:r>
      <w:r w:rsidR="00DB67B9">
        <w:rPr>
          <w:rFonts w:ascii="Arial" w:hAnsi="Arial" w:cs="Arial"/>
          <w:sz w:val="26"/>
          <w:szCs w:val="26"/>
        </w:rPr>
        <w:t>,</w:t>
      </w:r>
      <w:r w:rsidR="001824C0">
        <w:rPr>
          <w:rFonts w:ascii="Arial" w:hAnsi="Arial" w:cs="Arial"/>
          <w:sz w:val="26"/>
          <w:szCs w:val="26"/>
        </w:rPr>
        <w:t xml:space="preserve"> porque</w:t>
      </w:r>
      <w:r w:rsidR="0052616B">
        <w:rPr>
          <w:rFonts w:ascii="Arial" w:hAnsi="Arial" w:cs="Arial"/>
          <w:sz w:val="26"/>
          <w:szCs w:val="26"/>
        </w:rPr>
        <w:t xml:space="preserve"> las modificaciones que</w:t>
      </w:r>
      <w:r w:rsidR="00B303E8">
        <w:rPr>
          <w:rFonts w:ascii="Arial" w:hAnsi="Arial" w:cs="Arial"/>
          <w:sz w:val="26"/>
          <w:szCs w:val="26"/>
        </w:rPr>
        <w:t xml:space="preserve"> </w:t>
      </w:r>
      <w:r w:rsidR="0052616B">
        <w:rPr>
          <w:rFonts w:ascii="Arial" w:hAnsi="Arial" w:cs="Arial"/>
          <w:sz w:val="26"/>
          <w:szCs w:val="26"/>
        </w:rPr>
        <w:t>decretaban</w:t>
      </w:r>
      <w:r w:rsidR="001824C0">
        <w:rPr>
          <w:rFonts w:ascii="Arial" w:hAnsi="Arial" w:cs="Arial"/>
          <w:sz w:val="26"/>
          <w:szCs w:val="26"/>
        </w:rPr>
        <w:t xml:space="preserve"> no habían sido sometidas a consulta </w:t>
      </w:r>
      <w:r w:rsidR="005E437C">
        <w:rPr>
          <w:rFonts w:ascii="Arial" w:hAnsi="Arial" w:cs="Arial"/>
          <w:sz w:val="26"/>
          <w:szCs w:val="26"/>
        </w:rPr>
        <w:t>con</w:t>
      </w:r>
      <w:r w:rsidR="001824C0">
        <w:rPr>
          <w:rFonts w:ascii="Arial" w:hAnsi="Arial" w:cs="Arial"/>
          <w:sz w:val="26"/>
          <w:szCs w:val="26"/>
        </w:rPr>
        <w:t xml:space="preserve"> los pueblos y comunidades indígenas </w:t>
      </w:r>
      <w:r w:rsidR="00035043">
        <w:rPr>
          <w:rFonts w:ascii="Arial" w:hAnsi="Arial" w:cs="Arial"/>
          <w:sz w:val="26"/>
          <w:szCs w:val="26"/>
        </w:rPr>
        <w:t>de es</w:t>
      </w:r>
      <w:r w:rsidR="004C22FE">
        <w:rPr>
          <w:rFonts w:ascii="Arial" w:hAnsi="Arial" w:cs="Arial"/>
          <w:sz w:val="26"/>
          <w:szCs w:val="26"/>
        </w:rPr>
        <w:t>a entidad federativa</w:t>
      </w:r>
      <w:r w:rsidR="0052616B" w:rsidRPr="00894B94">
        <w:rPr>
          <w:rStyle w:val="Refdenotaalpie"/>
          <w:rFonts w:ascii="Arial" w:hAnsi="Arial" w:cs="Arial"/>
          <w:sz w:val="26"/>
          <w:szCs w:val="26"/>
        </w:rPr>
        <w:footnoteReference w:id="3"/>
      </w:r>
      <w:r w:rsidR="001824C0">
        <w:rPr>
          <w:rFonts w:ascii="Arial" w:hAnsi="Arial" w:cs="Arial"/>
          <w:sz w:val="26"/>
          <w:szCs w:val="26"/>
        </w:rPr>
        <w:t>.</w:t>
      </w:r>
      <w:r w:rsidR="005F6335">
        <w:rPr>
          <w:rFonts w:ascii="Arial" w:hAnsi="Arial" w:cs="Arial"/>
          <w:sz w:val="26"/>
          <w:szCs w:val="26"/>
        </w:rPr>
        <w:t xml:space="preserve"> </w:t>
      </w:r>
      <w:r w:rsidR="005E437C">
        <w:rPr>
          <w:rFonts w:ascii="Arial" w:hAnsi="Arial" w:cs="Arial"/>
          <w:sz w:val="26"/>
          <w:szCs w:val="26"/>
        </w:rPr>
        <w:t>Por otr</w:t>
      </w:r>
      <w:r w:rsidR="00DB67B9">
        <w:rPr>
          <w:rFonts w:ascii="Arial" w:hAnsi="Arial" w:cs="Arial"/>
          <w:sz w:val="26"/>
          <w:szCs w:val="26"/>
        </w:rPr>
        <w:t>o lado</w:t>
      </w:r>
      <w:r w:rsidR="001824C0">
        <w:rPr>
          <w:rFonts w:ascii="Arial" w:hAnsi="Arial" w:cs="Arial"/>
          <w:sz w:val="26"/>
          <w:szCs w:val="26"/>
        </w:rPr>
        <w:t>,</w:t>
      </w:r>
      <w:r w:rsidR="005F6335">
        <w:rPr>
          <w:rFonts w:ascii="Arial" w:hAnsi="Arial" w:cs="Arial"/>
          <w:sz w:val="26"/>
          <w:szCs w:val="26"/>
        </w:rPr>
        <w:t xml:space="preserve"> </w:t>
      </w:r>
      <w:r w:rsidR="0052616B">
        <w:rPr>
          <w:rFonts w:ascii="Arial" w:hAnsi="Arial" w:cs="Arial"/>
          <w:sz w:val="26"/>
          <w:szCs w:val="26"/>
        </w:rPr>
        <w:t xml:space="preserve">la Comisión </w:t>
      </w:r>
      <w:r w:rsidR="00762993">
        <w:rPr>
          <w:rFonts w:ascii="Arial" w:hAnsi="Arial" w:cs="Arial"/>
          <w:sz w:val="26"/>
          <w:szCs w:val="26"/>
        </w:rPr>
        <w:t>acciona</w:t>
      </w:r>
      <w:r w:rsidR="00762993" w:rsidRPr="00292D00">
        <w:rPr>
          <w:rFonts w:ascii="Arial" w:hAnsi="Arial" w:cs="Arial"/>
          <w:sz w:val="26"/>
          <w:szCs w:val="26"/>
        </w:rPr>
        <w:t xml:space="preserve">nte </w:t>
      </w:r>
      <w:r w:rsidR="00EA4FB2" w:rsidRPr="00292D00">
        <w:rPr>
          <w:rFonts w:ascii="Arial" w:hAnsi="Arial" w:cs="Arial"/>
          <w:sz w:val="26"/>
          <w:szCs w:val="26"/>
        </w:rPr>
        <w:t>alegó</w:t>
      </w:r>
      <w:r w:rsidR="00B303E8" w:rsidRPr="00292D00">
        <w:rPr>
          <w:rFonts w:ascii="Arial" w:hAnsi="Arial" w:cs="Arial"/>
          <w:sz w:val="26"/>
          <w:szCs w:val="26"/>
        </w:rPr>
        <w:t xml:space="preserve"> que</w:t>
      </w:r>
      <w:r w:rsidR="005E437C" w:rsidRPr="00292D00">
        <w:rPr>
          <w:rFonts w:ascii="Arial" w:hAnsi="Arial" w:cs="Arial"/>
          <w:sz w:val="26"/>
          <w:szCs w:val="26"/>
        </w:rPr>
        <w:t xml:space="preserve"> el Decreto N° </w:t>
      </w:r>
      <w:r w:rsidR="00DE6811" w:rsidRPr="00292D00">
        <w:rPr>
          <w:rFonts w:ascii="Arial" w:hAnsi="Arial" w:cs="Arial"/>
          <w:sz w:val="26"/>
          <w:szCs w:val="26"/>
        </w:rPr>
        <w:t>LXVI/RFLEY/0665</w:t>
      </w:r>
      <w:r w:rsidR="005E437C" w:rsidRPr="00292D00">
        <w:rPr>
          <w:rFonts w:ascii="Arial" w:hAnsi="Arial" w:cs="Arial"/>
          <w:sz w:val="26"/>
          <w:szCs w:val="26"/>
        </w:rPr>
        <w:t>/2020 III P.E.</w:t>
      </w:r>
      <w:r w:rsidR="00292D00" w:rsidRPr="00292D00">
        <w:rPr>
          <w:rFonts w:ascii="Arial" w:hAnsi="Arial" w:cs="Arial"/>
          <w:sz w:val="26"/>
          <w:szCs w:val="26"/>
        </w:rPr>
        <w:t xml:space="preserve"> (</w:t>
      </w:r>
      <w:r w:rsidR="00292D00" w:rsidRPr="00292D00">
        <w:rPr>
          <w:rFonts w:ascii="Arial" w:hAnsi="Arial" w:cs="Arial"/>
          <w:i/>
          <w:sz w:val="26"/>
          <w:szCs w:val="26"/>
        </w:rPr>
        <w:t>supra</w:t>
      </w:r>
      <w:r w:rsidR="00292D00" w:rsidRPr="00292D00">
        <w:rPr>
          <w:rFonts w:ascii="Arial" w:hAnsi="Arial" w:cs="Arial"/>
          <w:sz w:val="26"/>
          <w:szCs w:val="26"/>
        </w:rPr>
        <w:t xml:space="preserve"> párr. 3)</w:t>
      </w:r>
      <w:r w:rsidR="00B303E8" w:rsidRPr="00292D00">
        <w:rPr>
          <w:rFonts w:ascii="Arial" w:hAnsi="Arial" w:cs="Arial"/>
          <w:sz w:val="26"/>
          <w:szCs w:val="26"/>
        </w:rPr>
        <w:t xml:space="preserve"> vulneraba</w:t>
      </w:r>
      <w:r w:rsidR="00360629">
        <w:rPr>
          <w:rFonts w:ascii="Arial" w:hAnsi="Arial" w:cs="Arial"/>
          <w:sz w:val="26"/>
          <w:szCs w:val="26"/>
        </w:rPr>
        <w:t xml:space="preserve"> además</w:t>
      </w:r>
      <w:r w:rsidR="00B303E8" w:rsidRPr="00292D00">
        <w:rPr>
          <w:rFonts w:ascii="Arial" w:hAnsi="Arial" w:cs="Arial"/>
          <w:sz w:val="26"/>
          <w:szCs w:val="26"/>
        </w:rPr>
        <w:t xml:space="preserve"> </w:t>
      </w:r>
      <w:r w:rsidR="005E437C" w:rsidRPr="00292D00">
        <w:rPr>
          <w:rFonts w:ascii="Arial" w:hAnsi="Arial" w:cs="Arial"/>
          <w:sz w:val="26"/>
          <w:szCs w:val="26"/>
        </w:rPr>
        <w:t>el</w:t>
      </w:r>
      <w:r w:rsidR="00404467" w:rsidRPr="00292D00">
        <w:rPr>
          <w:rFonts w:ascii="Arial" w:hAnsi="Arial" w:cs="Arial"/>
          <w:sz w:val="26"/>
          <w:szCs w:val="26"/>
        </w:rPr>
        <w:t xml:space="preserve"> </w:t>
      </w:r>
      <w:r w:rsidR="005F6335" w:rsidRPr="00292D00">
        <w:rPr>
          <w:rFonts w:ascii="Arial" w:hAnsi="Arial" w:cs="Arial"/>
          <w:sz w:val="26"/>
          <w:szCs w:val="26"/>
        </w:rPr>
        <w:t>artículo</w:t>
      </w:r>
      <w:r w:rsidR="00B303E8" w:rsidRPr="00292D00">
        <w:rPr>
          <w:rFonts w:ascii="Arial" w:hAnsi="Arial" w:cs="Arial"/>
          <w:sz w:val="26"/>
          <w:szCs w:val="26"/>
        </w:rPr>
        <w:t xml:space="preserve"> </w:t>
      </w:r>
      <w:r w:rsidR="003D610E">
        <w:rPr>
          <w:rFonts w:ascii="Arial" w:hAnsi="Arial" w:cs="Arial"/>
          <w:sz w:val="26"/>
          <w:szCs w:val="26"/>
        </w:rPr>
        <w:t>4.3 de la Convención</w:t>
      </w:r>
      <w:r w:rsidR="005F6335" w:rsidRPr="00292D00">
        <w:rPr>
          <w:rFonts w:ascii="Arial" w:hAnsi="Arial" w:cs="Arial"/>
          <w:sz w:val="26"/>
          <w:szCs w:val="26"/>
        </w:rPr>
        <w:t xml:space="preserve"> sobre los Derechos de las Personas con Discapacidad</w:t>
      </w:r>
      <w:r w:rsidR="0052616B" w:rsidRPr="00292D00">
        <w:rPr>
          <w:rFonts w:ascii="Arial" w:hAnsi="Arial" w:cs="Arial"/>
          <w:sz w:val="26"/>
          <w:szCs w:val="26"/>
        </w:rPr>
        <w:t xml:space="preserve">, pues las adiciones que </w:t>
      </w:r>
      <w:r w:rsidR="00467C22" w:rsidRPr="00292D00">
        <w:rPr>
          <w:rFonts w:ascii="Arial" w:hAnsi="Arial" w:cs="Arial"/>
          <w:sz w:val="26"/>
          <w:szCs w:val="26"/>
        </w:rPr>
        <w:t xml:space="preserve">aquél </w:t>
      </w:r>
      <w:r w:rsidR="0052616B" w:rsidRPr="00292D00">
        <w:rPr>
          <w:rFonts w:ascii="Arial" w:hAnsi="Arial" w:cs="Arial"/>
          <w:sz w:val="26"/>
          <w:szCs w:val="26"/>
        </w:rPr>
        <w:t>contemplaba</w:t>
      </w:r>
      <w:r w:rsidR="0052616B">
        <w:rPr>
          <w:rFonts w:ascii="Arial" w:hAnsi="Arial" w:cs="Arial"/>
          <w:sz w:val="26"/>
          <w:szCs w:val="26"/>
        </w:rPr>
        <w:t xml:space="preserve"> no habían sido consultadas con las personas con discapacidad</w:t>
      </w:r>
      <w:r w:rsidR="00035043">
        <w:rPr>
          <w:rFonts w:ascii="Arial" w:hAnsi="Arial" w:cs="Arial"/>
          <w:sz w:val="26"/>
          <w:szCs w:val="26"/>
        </w:rPr>
        <w:t xml:space="preserve"> </w:t>
      </w:r>
      <w:r w:rsidR="0063059F">
        <w:rPr>
          <w:rFonts w:ascii="Arial" w:hAnsi="Arial" w:cs="Arial"/>
          <w:sz w:val="26"/>
          <w:szCs w:val="26"/>
        </w:rPr>
        <w:t xml:space="preserve">en </w:t>
      </w:r>
      <w:r w:rsidR="00850A44">
        <w:rPr>
          <w:rFonts w:ascii="Arial" w:hAnsi="Arial" w:cs="Arial"/>
          <w:sz w:val="26"/>
          <w:szCs w:val="26"/>
        </w:rPr>
        <w:t>el E</w:t>
      </w:r>
      <w:r w:rsidR="005E29F9">
        <w:rPr>
          <w:rFonts w:ascii="Arial" w:hAnsi="Arial" w:cs="Arial"/>
          <w:sz w:val="26"/>
          <w:szCs w:val="26"/>
        </w:rPr>
        <w:t>stado</w:t>
      </w:r>
      <w:r w:rsidR="00850A44">
        <w:rPr>
          <w:rFonts w:ascii="Arial" w:hAnsi="Arial" w:cs="Arial"/>
          <w:sz w:val="26"/>
          <w:szCs w:val="26"/>
        </w:rPr>
        <w:t xml:space="preserve"> de Chihuahua</w:t>
      </w:r>
      <w:r w:rsidR="0052616B" w:rsidRPr="00894B94">
        <w:rPr>
          <w:rStyle w:val="Refdenotaalpie"/>
          <w:rFonts w:ascii="Arial" w:hAnsi="Arial" w:cs="Arial"/>
          <w:sz w:val="26"/>
          <w:szCs w:val="26"/>
        </w:rPr>
        <w:footnoteReference w:id="4"/>
      </w:r>
      <w:r w:rsidR="00E94283">
        <w:rPr>
          <w:rFonts w:ascii="Arial" w:hAnsi="Arial" w:cs="Arial"/>
          <w:sz w:val="26"/>
          <w:szCs w:val="26"/>
        </w:rPr>
        <w:t>.</w:t>
      </w:r>
    </w:p>
    <w:p w:rsidR="003520C4" w:rsidRPr="006E23F2" w:rsidRDefault="003520C4" w:rsidP="003520C4">
      <w:pPr>
        <w:pStyle w:val="Prrafodelista"/>
        <w:spacing w:after="360" w:line="360" w:lineRule="auto"/>
        <w:ind w:left="0"/>
        <w:jc w:val="both"/>
        <w:rPr>
          <w:rFonts w:ascii="Arial" w:eastAsia="Times New Roman" w:hAnsi="Arial" w:cs="Arial"/>
          <w:sz w:val="26"/>
          <w:szCs w:val="26"/>
          <w:lang w:eastAsia="es-MX"/>
        </w:rPr>
      </w:pPr>
    </w:p>
    <w:p w:rsidR="003520C4" w:rsidRDefault="00747365" w:rsidP="003520C4">
      <w:pPr>
        <w:pStyle w:val="Prrafodelista"/>
        <w:numPr>
          <w:ilvl w:val="0"/>
          <w:numId w:val="1"/>
        </w:numPr>
        <w:spacing w:after="360" w:line="360" w:lineRule="auto"/>
        <w:ind w:left="0" w:hanging="567"/>
        <w:jc w:val="both"/>
        <w:rPr>
          <w:rFonts w:ascii="Arial" w:eastAsia="Times New Roman" w:hAnsi="Arial" w:cs="Arial"/>
          <w:sz w:val="26"/>
          <w:szCs w:val="26"/>
          <w:lang w:eastAsia="es-MX"/>
        </w:rPr>
      </w:pPr>
      <w:r>
        <w:rPr>
          <w:rFonts w:ascii="Arial" w:eastAsia="Times New Roman" w:hAnsi="Arial" w:cs="Arial"/>
          <w:sz w:val="26"/>
          <w:szCs w:val="26"/>
          <w:lang w:eastAsia="es-MX"/>
        </w:rPr>
        <w:t>El</w:t>
      </w:r>
      <w:r w:rsidR="003520C4" w:rsidRPr="004B3FE5">
        <w:rPr>
          <w:rFonts w:ascii="Arial" w:eastAsia="Times New Roman" w:hAnsi="Arial" w:cs="Arial"/>
          <w:color w:val="FF0000"/>
          <w:sz w:val="26"/>
          <w:szCs w:val="26"/>
          <w:lang w:eastAsia="es-MX"/>
        </w:rPr>
        <w:t xml:space="preserve"> </w:t>
      </w:r>
      <w:r w:rsidR="000A3FE4" w:rsidRPr="001349C2">
        <w:rPr>
          <w:rFonts w:ascii="Arial" w:eastAsia="Times New Roman" w:hAnsi="Arial" w:cs="Arial"/>
          <w:sz w:val="26"/>
          <w:szCs w:val="26"/>
          <w:lang w:eastAsia="es-MX"/>
        </w:rPr>
        <w:t>diez</w:t>
      </w:r>
      <w:r w:rsidR="0052616B" w:rsidRPr="001349C2">
        <w:rPr>
          <w:rFonts w:ascii="Arial" w:eastAsia="Times New Roman" w:hAnsi="Arial" w:cs="Arial"/>
          <w:sz w:val="26"/>
          <w:szCs w:val="26"/>
          <w:lang w:eastAsia="es-MX"/>
        </w:rPr>
        <w:t xml:space="preserve"> de agosto </w:t>
      </w:r>
      <w:r w:rsidR="000A3FE4">
        <w:rPr>
          <w:rFonts w:ascii="Arial" w:eastAsia="Times New Roman" w:hAnsi="Arial" w:cs="Arial"/>
          <w:sz w:val="26"/>
          <w:szCs w:val="26"/>
          <w:lang w:eastAsia="es-MX"/>
        </w:rPr>
        <w:t>siguiente</w:t>
      </w:r>
      <w:r w:rsidR="0052616B">
        <w:rPr>
          <w:rFonts w:ascii="Arial" w:eastAsia="Times New Roman" w:hAnsi="Arial" w:cs="Arial"/>
          <w:sz w:val="26"/>
          <w:szCs w:val="26"/>
          <w:lang w:eastAsia="es-MX"/>
        </w:rPr>
        <w:t xml:space="preserve"> e</w:t>
      </w:r>
      <w:r w:rsidR="003520C4" w:rsidRPr="00972D9E">
        <w:rPr>
          <w:rFonts w:ascii="Arial" w:eastAsia="Times New Roman" w:hAnsi="Arial" w:cs="Arial"/>
          <w:sz w:val="26"/>
          <w:szCs w:val="26"/>
          <w:lang w:eastAsia="es-MX"/>
        </w:rPr>
        <w:t xml:space="preserve">l </w:t>
      </w:r>
      <w:r w:rsidR="003520C4">
        <w:rPr>
          <w:rFonts w:ascii="Arial" w:eastAsia="Times New Roman" w:hAnsi="Arial" w:cs="Arial"/>
          <w:sz w:val="26"/>
          <w:szCs w:val="26"/>
          <w:lang w:eastAsia="es-MX"/>
        </w:rPr>
        <w:t xml:space="preserve">ministro </w:t>
      </w:r>
      <w:r w:rsidR="003520C4" w:rsidRPr="00972D9E">
        <w:rPr>
          <w:rFonts w:ascii="Arial" w:eastAsia="Times New Roman" w:hAnsi="Arial" w:cs="Arial"/>
          <w:sz w:val="26"/>
          <w:szCs w:val="26"/>
          <w:lang w:eastAsia="es-MX"/>
        </w:rPr>
        <w:t xml:space="preserve">Presidente de </w:t>
      </w:r>
      <w:r w:rsidR="003520C4">
        <w:rPr>
          <w:rFonts w:ascii="Arial" w:eastAsia="Times New Roman" w:hAnsi="Arial" w:cs="Arial"/>
          <w:sz w:val="26"/>
          <w:szCs w:val="26"/>
          <w:lang w:eastAsia="es-MX"/>
        </w:rPr>
        <w:t>l</w:t>
      </w:r>
      <w:r w:rsidR="003520C4" w:rsidRPr="00972D9E">
        <w:rPr>
          <w:rFonts w:ascii="Arial" w:eastAsia="Times New Roman" w:hAnsi="Arial" w:cs="Arial"/>
          <w:sz w:val="26"/>
          <w:szCs w:val="26"/>
          <w:lang w:eastAsia="es-MX"/>
        </w:rPr>
        <w:t>a Suprema Corte</w:t>
      </w:r>
      <w:r w:rsidR="003520C4">
        <w:rPr>
          <w:rFonts w:ascii="Arial" w:eastAsia="Times New Roman" w:hAnsi="Arial" w:cs="Arial"/>
          <w:sz w:val="26"/>
          <w:szCs w:val="26"/>
          <w:lang w:eastAsia="es-MX"/>
        </w:rPr>
        <w:t xml:space="preserve"> de Justicia de la Nación</w:t>
      </w:r>
      <w:r w:rsidR="003520C4" w:rsidRPr="00972D9E">
        <w:rPr>
          <w:rFonts w:ascii="Arial" w:eastAsia="Times New Roman" w:hAnsi="Arial" w:cs="Arial"/>
          <w:sz w:val="26"/>
          <w:szCs w:val="26"/>
          <w:lang w:eastAsia="es-MX"/>
        </w:rPr>
        <w:t xml:space="preserve"> ordenó formar expediente</w:t>
      </w:r>
      <w:r w:rsidR="003520C4">
        <w:rPr>
          <w:rFonts w:ascii="Arial" w:eastAsia="Times New Roman" w:hAnsi="Arial" w:cs="Arial"/>
          <w:sz w:val="26"/>
          <w:szCs w:val="26"/>
          <w:lang w:eastAsia="es-MX"/>
        </w:rPr>
        <w:t xml:space="preserve"> respectivo, registrarlo</w:t>
      </w:r>
      <w:r w:rsidR="003520C4" w:rsidRPr="00972D9E">
        <w:rPr>
          <w:rFonts w:ascii="Arial" w:eastAsia="Times New Roman" w:hAnsi="Arial" w:cs="Arial"/>
          <w:sz w:val="26"/>
          <w:szCs w:val="26"/>
          <w:lang w:eastAsia="es-MX"/>
        </w:rPr>
        <w:t xml:space="preserve"> con el número </w:t>
      </w:r>
      <w:r w:rsidR="004B3FE5">
        <w:rPr>
          <w:rFonts w:ascii="Arial" w:eastAsia="Times New Roman" w:hAnsi="Arial" w:cs="Arial"/>
          <w:b/>
          <w:sz w:val="26"/>
          <w:szCs w:val="26"/>
          <w:lang w:eastAsia="es-MX"/>
        </w:rPr>
        <w:t>201</w:t>
      </w:r>
      <w:r w:rsidR="003520C4" w:rsidRPr="00972D9E">
        <w:rPr>
          <w:rFonts w:ascii="Arial" w:eastAsia="Times New Roman" w:hAnsi="Arial" w:cs="Arial"/>
          <w:b/>
          <w:sz w:val="26"/>
          <w:szCs w:val="26"/>
          <w:lang w:eastAsia="es-MX"/>
        </w:rPr>
        <w:t>/2020</w:t>
      </w:r>
      <w:r w:rsidR="003520C4" w:rsidRPr="00972D9E">
        <w:rPr>
          <w:rFonts w:ascii="Arial" w:eastAsia="Times New Roman" w:hAnsi="Arial" w:cs="Arial"/>
          <w:sz w:val="26"/>
          <w:szCs w:val="26"/>
          <w:lang w:eastAsia="es-MX"/>
        </w:rPr>
        <w:t xml:space="preserve"> y turnarlo a</w:t>
      </w:r>
      <w:r w:rsidR="003520C4">
        <w:rPr>
          <w:rFonts w:ascii="Arial" w:eastAsia="Times New Roman" w:hAnsi="Arial" w:cs="Arial"/>
          <w:sz w:val="26"/>
          <w:szCs w:val="26"/>
          <w:lang w:eastAsia="es-MX"/>
        </w:rPr>
        <w:t xml:space="preserve">l </w:t>
      </w:r>
      <w:r w:rsidR="003520C4" w:rsidRPr="00972D9E">
        <w:rPr>
          <w:rFonts w:ascii="Arial" w:eastAsia="Times New Roman" w:hAnsi="Arial" w:cs="Arial"/>
          <w:sz w:val="26"/>
          <w:szCs w:val="26"/>
          <w:lang w:eastAsia="es-MX"/>
        </w:rPr>
        <w:t>ministro Javier Laynez Potisek para</w:t>
      </w:r>
      <w:r w:rsidR="003520C4">
        <w:rPr>
          <w:rFonts w:ascii="Arial" w:eastAsia="Times New Roman" w:hAnsi="Arial" w:cs="Arial"/>
          <w:sz w:val="26"/>
          <w:szCs w:val="26"/>
          <w:lang w:eastAsia="es-MX"/>
        </w:rPr>
        <w:t xml:space="preserve"> que</w:t>
      </w:r>
      <w:r w:rsidR="003520C4" w:rsidRPr="00972D9E">
        <w:rPr>
          <w:rFonts w:ascii="Arial" w:eastAsia="Times New Roman" w:hAnsi="Arial" w:cs="Arial"/>
          <w:sz w:val="26"/>
          <w:szCs w:val="26"/>
          <w:lang w:eastAsia="es-MX"/>
        </w:rPr>
        <w:t xml:space="preserve"> instru</w:t>
      </w:r>
      <w:r w:rsidR="003520C4">
        <w:rPr>
          <w:rFonts w:ascii="Arial" w:eastAsia="Times New Roman" w:hAnsi="Arial" w:cs="Arial"/>
          <w:sz w:val="26"/>
          <w:szCs w:val="26"/>
          <w:lang w:eastAsia="es-MX"/>
        </w:rPr>
        <w:t>yera</w:t>
      </w:r>
      <w:r w:rsidR="003520C4" w:rsidRPr="00972D9E">
        <w:rPr>
          <w:rFonts w:ascii="Arial" w:eastAsia="Times New Roman" w:hAnsi="Arial" w:cs="Arial"/>
          <w:sz w:val="26"/>
          <w:szCs w:val="26"/>
          <w:lang w:eastAsia="es-MX"/>
        </w:rPr>
        <w:t xml:space="preserve"> el procedimiento</w:t>
      </w:r>
      <w:r w:rsidR="003520C4">
        <w:rPr>
          <w:rFonts w:ascii="Arial" w:eastAsia="Times New Roman" w:hAnsi="Arial" w:cs="Arial"/>
          <w:sz w:val="26"/>
          <w:szCs w:val="26"/>
          <w:lang w:eastAsia="es-MX"/>
        </w:rPr>
        <w:t xml:space="preserve"> correspondiente</w:t>
      </w:r>
      <w:r w:rsidR="00D3700A" w:rsidRPr="00894B94">
        <w:rPr>
          <w:rStyle w:val="Refdenotaalpie"/>
          <w:rFonts w:ascii="Arial" w:hAnsi="Arial" w:cs="Arial"/>
          <w:sz w:val="26"/>
          <w:szCs w:val="26"/>
        </w:rPr>
        <w:footnoteReference w:id="5"/>
      </w:r>
      <w:r w:rsidR="003520C4" w:rsidRPr="00972D9E">
        <w:rPr>
          <w:rFonts w:ascii="Arial" w:eastAsia="Times New Roman" w:hAnsi="Arial" w:cs="Arial"/>
          <w:sz w:val="26"/>
          <w:szCs w:val="26"/>
          <w:lang w:eastAsia="es-MX"/>
        </w:rPr>
        <w:t>.</w:t>
      </w:r>
    </w:p>
    <w:p w:rsidR="003520C4" w:rsidRDefault="003520C4" w:rsidP="003520C4">
      <w:pPr>
        <w:pStyle w:val="Prrafodelista"/>
        <w:spacing w:after="360" w:line="360" w:lineRule="auto"/>
        <w:ind w:left="0"/>
        <w:jc w:val="both"/>
        <w:rPr>
          <w:rFonts w:ascii="Arial" w:eastAsia="Times New Roman" w:hAnsi="Arial" w:cs="Arial"/>
          <w:sz w:val="26"/>
          <w:szCs w:val="26"/>
          <w:lang w:eastAsia="es-MX"/>
        </w:rPr>
      </w:pPr>
      <w:r>
        <w:rPr>
          <w:rFonts w:ascii="Arial" w:hAnsi="Arial" w:cs="Arial"/>
          <w:sz w:val="26"/>
          <w:szCs w:val="26"/>
        </w:rPr>
        <w:t xml:space="preserve"> </w:t>
      </w:r>
      <w:r>
        <w:rPr>
          <w:rFonts w:ascii="Arial" w:eastAsia="Times New Roman" w:hAnsi="Arial" w:cs="Arial"/>
          <w:sz w:val="26"/>
          <w:szCs w:val="26"/>
          <w:lang w:eastAsia="es-MX"/>
        </w:rPr>
        <w:t xml:space="preserve">  </w:t>
      </w:r>
    </w:p>
    <w:p w:rsidR="006C6BF1" w:rsidRDefault="00C635D8" w:rsidP="003520C4">
      <w:pPr>
        <w:pStyle w:val="Prrafodelista"/>
        <w:numPr>
          <w:ilvl w:val="0"/>
          <w:numId w:val="1"/>
        </w:numPr>
        <w:spacing w:after="360" w:line="360" w:lineRule="auto"/>
        <w:ind w:left="0" w:hanging="567"/>
        <w:jc w:val="both"/>
        <w:rPr>
          <w:rFonts w:ascii="Arial" w:eastAsia="Times New Roman" w:hAnsi="Arial" w:cs="Arial"/>
          <w:sz w:val="26"/>
          <w:szCs w:val="26"/>
          <w:lang w:eastAsia="es-MX"/>
        </w:rPr>
      </w:pPr>
      <w:r>
        <w:rPr>
          <w:rFonts w:ascii="Arial" w:eastAsia="Times New Roman" w:hAnsi="Arial" w:cs="Arial"/>
          <w:sz w:val="26"/>
          <w:szCs w:val="26"/>
          <w:lang w:eastAsia="es-MX"/>
        </w:rPr>
        <w:lastRenderedPageBreak/>
        <w:t>El</w:t>
      </w:r>
      <w:r w:rsidR="008F28A3" w:rsidRPr="00972D9E">
        <w:rPr>
          <w:rFonts w:ascii="Arial" w:eastAsia="Times New Roman" w:hAnsi="Arial" w:cs="Arial"/>
          <w:sz w:val="26"/>
          <w:szCs w:val="26"/>
          <w:lang w:eastAsia="es-MX"/>
        </w:rPr>
        <w:t xml:space="preserve"> </w:t>
      </w:r>
      <w:r w:rsidR="00534DFB" w:rsidRPr="001349C2">
        <w:rPr>
          <w:rFonts w:ascii="Arial" w:eastAsia="Times New Roman" w:hAnsi="Arial" w:cs="Arial"/>
          <w:sz w:val="26"/>
          <w:szCs w:val="26"/>
          <w:lang w:eastAsia="es-MX"/>
        </w:rPr>
        <w:t>diecisiete de agosto de dos mil veinte</w:t>
      </w:r>
      <w:r w:rsidR="004B3FE5" w:rsidRPr="006F1020">
        <w:rPr>
          <w:rFonts w:ascii="Arial" w:eastAsia="Times New Roman" w:hAnsi="Arial" w:cs="Arial"/>
          <w:color w:val="FF0000"/>
          <w:sz w:val="26"/>
          <w:szCs w:val="26"/>
          <w:lang w:eastAsia="es-MX"/>
        </w:rPr>
        <w:t xml:space="preserve"> </w:t>
      </w:r>
      <w:r w:rsidR="003520C4" w:rsidRPr="00972D9E">
        <w:rPr>
          <w:rFonts w:ascii="Arial" w:eastAsia="Times New Roman" w:hAnsi="Arial" w:cs="Arial"/>
          <w:sz w:val="26"/>
          <w:szCs w:val="26"/>
          <w:lang w:eastAsia="es-MX"/>
        </w:rPr>
        <w:t>el ministro instructor admitió</w:t>
      </w:r>
      <w:r w:rsidR="003520C4">
        <w:rPr>
          <w:rFonts w:ascii="Arial" w:eastAsia="Times New Roman" w:hAnsi="Arial" w:cs="Arial"/>
          <w:sz w:val="26"/>
          <w:szCs w:val="26"/>
          <w:lang w:eastAsia="es-MX"/>
        </w:rPr>
        <w:t xml:space="preserve"> a trámite</w:t>
      </w:r>
      <w:r w:rsidR="003520C4" w:rsidRPr="00972D9E">
        <w:rPr>
          <w:rFonts w:ascii="Arial" w:eastAsia="Times New Roman" w:hAnsi="Arial" w:cs="Arial"/>
          <w:sz w:val="26"/>
          <w:szCs w:val="26"/>
          <w:lang w:eastAsia="es-MX"/>
        </w:rPr>
        <w:t xml:space="preserve"> la </w:t>
      </w:r>
      <w:r w:rsidR="003520C4">
        <w:rPr>
          <w:rFonts w:ascii="Arial" w:eastAsia="Times New Roman" w:hAnsi="Arial" w:cs="Arial"/>
          <w:sz w:val="26"/>
          <w:szCs w:val="26"/>
          <w:lang w:eastAsia="es-MX"/>
        </w:rPr>
        <w:t>acci</w:t>
      </w:r>
      <w:r w:rsidR="004B3FE5">
        <w:rPr>
          <w:rFonts w:ascii="Arial" w:eastAsia="Times New Roman" w:hAnsi="Arial" w:cs="Arial"/>
          <w:sz w:val="26"/>
          <w:szCs w:val="26"/>
          <w:lang w:eastAsia="es-MX"/>
        </w:rPr>
        <w:t>ón</w:t>
      </w:r>
      <w:r w:rsidR="003520C4">
        <w:rPr>
          <w:rFonts w:ascii="Arial" w:eastAsia="Times New Roman" w:hAnsi="Arial" w:cs="Arial"/>
          <w:sz w:val="26"/>
          <w:szCs w:val="26"/>
          <w:lang w:eastAsia="es-MX"/>
        </w:rPr>
        <w:t xml:space="preserve"> de inconstitucionalidad,</w:t>
      </w:r>
      <w:r w:rsidR="003520C4" w:rsidRPr="00972D9E">
        <w:rPr>
          <w:rFonts w:ascii="Arial" w:eastAsia="Times New Roman" w:hAnsi="Arial" w:cs="Arial"/>
          <w:sz w:val="26"/>
          <w:szCs w:val="26"/>
          <w:lang w:eastAsia="es-MX"/>
        </w:rPr>
        <w:t xml:space="preserve"> </w:t>
      </w:r>
      <w:r w:rsidR="003520C4">
        <w:rPr>
          <w:rFonts w:ascii="Arial" w:eastAsia="Times New Roman" w:hAnsi="Arial" w:cs="Arial"/>
          <w:sz w:val="26"/>
          <w:szCs w:val="26"/>
          <w:lang w:eastAsia="es-MX"/>
        </w:rPr>
        <w:t>dio vista</w:t>
      </w:r>
      <w:r w:rsidR="003520C4" w:rsidRPr="00972D9E">
        <w:rPr>
          <w:rFonts w:ascii="Arial" w:eastAsia="Times New Roman" w:hAnsi="Arial" w:cs="Arial"/>
          <w:sz w:val="26"/>
          <w:szCs w:val="26"/>
          <w:lang w:eastAsia="es-MX"/>
        </w:rPr>
        <w:t xml:space="preserve"> a</w:t>
      </w:r>
      <w:r w:rsidR="003520C4">
        <w:rPr>
          <w:rFonts w:ascii="Arial" w:eastAsia="Times New Roman" w:hAnsi="Arial" w:cs="Arial"/>
          <w:sz w:val="26"/>
          <w:szCs w:val="26"/>
          <w:lang w:eastAsia="es-MX"/>
        </w:rPr>
        <w:t xml:space="preserve"> </w:t>
      </w:r>
      <w:r w:rsidR="003520C4" w:rsidRPr="00972D9E">
        <w:rPr>
          <w:rFonts w:ascii="Arial" w:eastAsia="Times New Roman" w:hAnsi="Arial" w:cs="Arial"/>
          <w:sz w:val="26"/>
          <w:szCs w:val="26"/>
          <w:lang w:eastAsia="es-MX"/>
        </w:rPr>
        <w:t>l</w:t>
      </w:r>
      <w:r w:rsidR="003520C4">
        <w:rPr>
          <w:rFonts w:ascii="Arial" w:eastAsia="Times New Roman" w:hAnsi="Arial" w:cs="Arial"/>
          <w:sz w:val="26"/>
          <w:szCs w:val="26"/>
          <w:lang w:eastAsia="es-MX"/>
        </w:rPr>
        <w:t>os</w:t>
      </w:r>
      <w:r w:rsidR="003520C4" w:rsidRPr="00972D9E">
        <w:rPr>
          <w:rFonts w:ascii="Arial" w:eastAsia="Times New Roman" w:hAnsi="Arial" w:cs="Arial"/>
          <w:sz w:val="26"/>
          <w:szCs w:val="26"/>
          <w:lang w:eastAsia="es-MX"/>
        </w:rPr>
        <w:t xml:space="preserve"> </w:t>
      </w:r>
      <w:r w:rsidR="003520C4">
        <w:rPr>
          <w:rFonts w:ascii="Arial" w:eastAsia="Times New Roman" w:hAnsi="Arial" w:cs="Arial"/>
          <w:sz w:val="26"/>
          <w:szCs w:val="26"/>
          <w:lang w:eastAsia="es-MX"/>
        </w:rPr>
        <w:t>poderes Legislativo</w:t>
      </w:r>
      <w:r w:rsidR="003520C4" w:rsidRPr="007D03D8">
        <w:rPr>
          <w:rFonts w:ascii="Arial" w:eastAsia="Times New Roman" w:hAnsi="Arial" w:cs="Arial"/>
          <w:sz w:val="26"/>
          <w:szCs w:val="26"/>
          <w:lang w:eastAsia="es-MX"/>
        </w:rPr>
        <w:t xml:space="preserve"> </w:t>
      </w:r>
      <w:r w:rsidR="003520C4">
        <w:rPr>
          <w:rFonts w:ascii="Arial" w:eastAsia="Times New Roman" w:hAnsi="Arial" w:cs="Arial"/>
          <w:sz w:val="26"/>
          <w:szCs w:val="26"/>
          <w:lang w:eastAsia="es-MX"/>
        </w:rPr>
        <w:t>y Ejecutivo</w:t>
      </w:r>
      <w:r w:rsidR="003520C4" w:rsidRPr="00972D9E">
        <w:rPr>
          <w:rFonts w:ascii="Arial" w:eastAsia="Times New Roman" w:hAnsi="Arial" w:cs="Arial"/>
          <w:sz w:val="26"/>
          <w:szCs w:val="26"/>
          <w:lang w:eastAsia="es-MX"/>
        </w:rPr>
        <w:t xml:space="preserve"> de</w:t>
      </w:r>
      <w:r w:rsidR="004B3FE5">
        <w:rPr>
          <w:rFonts w:ascii="Arial" w:eastAsia="Times New Roman" w:hAnsi="Arial" w:cs="Arial"/>
          <w:sz w:val="26"/>
          <w:szCs w:val="26"/>
          <w:lang w:eastAsia="es-MX"/>
        </w:rPr>
        <w:t xml:space="preserve"> Chihuahua</w:t>
      </w:r>
      <w:r w:rsidR="003520C4" w:rsidRPr="00972D9E">
        <w:rPr>
          <w:rFonts w:ascii="Arial" w:eastAsia="Times New Roman" w:hAnsi="Arial" w:cs="Arial"/>
          <w:sz w:val="26"/>
          <w:szCs w:val="26"/>
          <w:lang w:eastAsia="es-MX"/>
        </w:rPr>
        <w:t xml:space="preserve"> para que rindieran su</w:t>
      </w:r>
      <w:r w:rsidR="005A033F">
        <w:rPr>
          <w:rFonts w:ascii="Arial" w:eastAsia="Times New Roman" w:hAnsi="Arial" w:cs="Arial"/>
          <w:sz w:val="26"/>
          <w:szCs w:val="26"/>
          <w:lang w:eastAsia="es-MX"/>
        </w:rPr>
        <w:t>s</w:t>
      </w:r>
      <w:r w:rsidR="003520C4" w:rsidRPr="00972D9E">
        <w:rPr>
          <w:rFonts w:ascii="Arial" w:eastAsia="Times New Roman" w:hAnsi="Arial" w:cs="Arial"/>
          <w:sz w:val="26"/>
          <w:szCs w:val="26"/>
          <w:lang w:eastAsia="es-MX"/>
        </w:rPr>
        <w:t xml:space="preserve"> informe</w:t>
      </w:r>
      <w:r w:rsidR="005A033F">
        <w:rPr>
          <w:rFonts w:ascii="Arial" w:eastAsia="Times New Roman" w:hAnsi="Arial" w:cs="Arial"/>
          <w:sz w:val="26"/>
          <w:szCs w:val="26"/>
          <w:lang w:eastAsia="es-MX"/>
        </w:rPr>
        <w:t>s</w:t>
      </w:r>
      <w:r w:rsidR="003520C4" w:rsidRPr="00972D9E">
        <w:rPr>
          <w:rFonts w:ascii="Arial" w:eastAsia="Times New Roman" w:hAnsi="Arial" w:cs="Arial"/>
          <w:sz w:val="26"/>
          <w:szCs w:val="26"/>
          <w:lang w:eastAsia="es-MX"/>
        </w:rPr>
        <w:t xml:space="preserve"> </w:t>
      </w:r>
      <w:r w:rsidR="003520C4">
        <w:rPr>
          <w:rFonts w:ascii="Arial" w:eastAsia="Times New Roman" w:hAnsi="Arial" w:cs="Arial"/>
          <w:sz w:val="26"/>
          <w:szCs w:val="26"/>
          <w:lang w:eastAsia="es-MX"/>
        </w:rPr>
        <w:t>dentro del</w:t>
      </w:r>
      <w:r w:rsidR="003520C4" w:rsidRPr="00972D9E">
        <w:rPr>
          <w:rFonts w:ascii="Arial" w:eastAsia="Times New Roman" w:hAnsi="Arial" w:cs="Arial"/>
          <w:sz w:val="26"/>
          <w:szCs w:val="26"/>
          <w:lang w:eastAsia="es-MX"/>
        </w:rPr>
        <w:t xml:space="preserve"> </w:t>
      </w:r>
      <w:r w:rsidR="003520C4">
        <w:rPr>
          <w:rFonts w:ascii="Arial" w:eastAsia="Times New Roman" w:hAnsi="Arial" w:cs="Arial"/>
          <w:sz w:val="26"/>
          <w:szCs w:val="26"/>
          <w:lang w:eastAsia="es-MX"/>
        </w:rPr>
        <w:t xml:space="preserve">plazo de </w:t>
      </w:r>
      <w:r w:rsidR="006C4726">
        <w:rPr>
          <w:rFonts w:ascii="Arial" w:eastAsia="Times New Roman" w:hAnsi="Arial" w:cs="Arial"/>
          <w:sz w:val="26"/>
          <w:szCs w:val="26"/>
          <w:lang w:eastAsia="es-MX"/>
        </w:rPr>
        <w:t>seis</w:t>
      </w:r>
      <w:r w:rsidR="006C4726">
        <w:rPr>
          <w:rFonts w:ascii="Arial" w:eastAsia="Times New Roman" w:hAnsi="Arial" w:cs="Arial"/>
          <w:color w:val="FF0000"/>
          <w:sz w:val="26"/>
          <w:szCs w:val="26"/>
          <w:lang w:eastAsia="es-MX"/>
        </w:rPr>
        <w:t xml:space="preserve"> </w:t>
      </w:r>
      <w:r w:rsidR="003520C4">
        <w:rPr>
          <w:rFonts w:ascii="Arial" w:eastAsia="Times New Roman" w:hAnsi="Arial" w:cs="Arial"/>
          <w:sz w:val="26"/>
          <w:szCs w:val="26"/>
          <w:lang w:eastAsia="es-MX"/>
        </w:rPr>
        <w:t>días</w:t>
      </w:r>
      <w:r w:rsidR="006C4726">
        <w:rPr>
          <w:rFonts w:ascii="Arial" w:eastAsia="Times New Roman" w:hAnsi="Arial" w:cs="Arial"/>
          <w:sz w:val="26"/>
          <w:szCs w:val="26"/>
          <w:lang w:eastAsia="es-MX"/>
        </w:rPr>
        <w:t xml:space="preserve"> naturales</w:t>
      </w:r>
      <w:r w:rsidR="002148C3">
        <w:rPr>
          <w:rFonts w:ascii="Arial" w:eastAsia="Times New Roman" w:hAnsi="Arial" w:cs="Arial"/>
          <w:sz w:val="26"/>
          <w:szCs w:val="26"/>
          <w:lang w:eastAsia="es-MX"/>
        </w:rPr>
        <w:t xml:space="preserve"> a partir de la notificación del acuerdo</w:t>
      </w:r>
      <w:r w:rsidR="003520C4">
        <w:rPr>
          <w:rFonts w:ascii="Arial" w:eastAsia="Times New Roman" w:hAnsi="Arial" w:cs="Arial"/>
          <w:sz w:val="26"/>
          <w:szCs w:val="26"/>
          <w:lang w:eastAsia="es-MX"/>
        </w:rPr>
        <w:t xml:space="preserve"> </w:t>
      </w:r>
      <w:r w:rsidR="003520C4" w:rsidRPr="00534DFB">
        <w:rPr>
          <w:rFonts w:ascii="Arial" w:eastAsia="Times New Roman" w:hAnsi="Arial" w:cs="Arial"/>
          <w:sz w:val="26"/>
          <w:szCs w:val="26"/>
          <w:lang w:eastAsia="es-MX"/>
        </w:rPr>
        <w:t>y les requirió para que con ellos enviaran, respectivamente,</w:t>
      </w:r>
      <w:r w:rsidR="005A033F">
        <w:rPr>
          <w:rFonts w:ascii="Arial" w:eastAsia="Times New Roman" w:hAnsi="Arial" w:cs="Arial"/>
          <w:sz w:val="26"/>
          <w:szCs w:val="26"/>
          <w:lang w:eastAsia="es-MX"/>
        </w:rPr>
        <w:t xml:space="preserve"> copia certificada de los antecedentes legislativos de los decretos impugnados</w:t>
      </w:r>
      <w:r w:rsidR="003520C4" w:rsidRPr="00534DFB">
        <w:rPr>
          <w:rFonts w:ascii="Arial" w:eastAsia="Times New Roman" w:hAnsi="Arial" w:cs="Arial"/>
          <w:sz w:val="26"/>
          <w:szCs w:val="26"/>
          <w:lang w:eastAsia="es-MX"/>
        </w:rPr>
        <w:t xml:space="preserve"> </w:t>
      </w:r>
      <w:r w:rsidR="005A033F">
        <w:rPr>
          <w:rFonts w:ascii="Arial" w:eastAsia="Times New Roman" w:hAnsi="Arial" w:cs="Arial"/>
          <w:sz w:val="26"/>
          <w:szCs w:val="26"/>
          <w:lang w:eastAsia="es-MX"/>
        </w:rPr>
        <w:t xml:space="preserve">y </w:t>
      </w:r>
      <w:r w:rsidR="003520C4" w:rsidRPr="00270334">
        <w:rPr>
          <w:rFonts w:ascii="Arial" w:eastAsia="Times New Roman" w:hAnsi="Arial" w:cs="Arial"/>
          <w:sz w:val="26"/>
          <w:szCs w:val="26"/>
          <w:lang w:eastAsia="es-MX"/>
        </w:rPr>
        <w:t>e</w:t>
      </w:r>
      <w:r w:rsidR="005A2996" w:rsidRPr="00270334">
        <w:rPr>
          <w:rFonts w:ascii="Arial" w:eastAsia="Times New Roman" w:hAnsi="Arial" w:cs="Arial"/>
          <w:sz w:val="26"/>
          <w:szCs w:val="26"/>
          <w:lang w:eastAsia="es-MX"/>
        </w:rPr>
        <w:t xml:space="preserve">l </w:t>
      </w:r>
      <w:r w:rsidR="003520C4" w:rsidRPr="00270334">
        <w:rPr>
          <w:rFonts w:ascii="Arial" w:eastAsia="Times New Roman" w:hAnsi="Arial" w:cs="Arial"/>
          <w:sz w:val="26"/>
          <w:szCs w:val="26"/>
          <w:lang w:eastAsia="es-MX"/>
        </w:rPr>
        <w:t xml:space="preserve">ejemplar del periódico oficial de la entidad federativa en que constara su publicación. </w:t>
      </w:r>
      <w:r w:rsidR="003520C4" w:rsidRPr="001349C2">
        <w:rPr>
          <w:rFonts w:ascii="Arial" w:eastAsia="Times New Roman" w:hAnsi="Arial" w:cs="Arial"/>
          <w:sz w:val="26"/>
          <w:szCs w:val="26"/>
          <w:lang w:eastAsia="es-MX"/>
        </w:rPr>
        <w:t>Asimismo, dio vista a la Fiscalía General de la República y a la Consejería Jurídica del Ejecutivo Federal para que hasta antes del cierre de la instrucción hicieran las manifestaciones que les correspondieran</w:t>
      </w:r>
      <w:r w:rsidR="003520C4" w:rsidRPr="00994582">
        <w:rPr>
          <w:rFonts w:ascii="Arial" w:eastAsia="Times New Roman" w:hAnsi="Arial" w:cs="Arial"/>
          <w:sz w:val="26"/>
          <w:szCs w:val="26"/>
          <w:lang w:eastAsia="es-MX"/>
        </w:rPr>
        <w:t>.</w:t>
      </w:r>
      <w:r w:rsidR="00D3700A">
        <w:rPr>
          <w:rFonts w:ascii="Arial" w:eastAsia="Times New Roman" w:hAnsi="Arial" w:cs="Arial"/>
          <w:sz w:val="26"/>
          <w:szCs w:val="26"/>
          <w:lang w:eastAsia="es-MX"/>
        </w:rPr>
        <w:t xml:space="preserve"> </w:t>
      </w:r>
      <w:r w:rsidR="006901B7">
        <w:rPr>
          <w:rFonts w:ascii="Arial" w:eastAsia="Times New Roman" w:hAnsi="Arial" w:cs="Arial"/>
          <w:sz w:val="26"/>
          <w:szCs w:val="26"/>
          <w:lang w:eastAsia="es-MX"/>
        </w:rPr>
        <w:t>Finalmente</w:t>
      </w:r>
      <w:r w:rsidR="00D3700A">
        <w:rPr>
          <w:rFonts w:ascii="Arial" w:eastAsia="Times New Roman" w:hAnsi="Arial" w:cs="Arial"/>
          <w:sz w:val="26"/>
          <w:szCs w:val="26"/>
          <w:lang w:eastAsia="es-MX"/>
        </w:rPr>
        <w:t>,</w:t>
      </w:r>
      <w:r w:rsidR="003520C4">
        <w:rPr>
          <w:rFonts w:ascii="Arial" w:eastAsia="Times New Roman" w:hAnsi="Arial" w:cs="Arial"/>
          <w:sz w:val="26"/>
          <w:szCs w:val="26"/>
          <w:lang w:eastAsia="es-MX"/>
        </w:rPr>
        <w:t xml:space="preserve"> </w:t>
      </w:r>
      <w:r w:rsidR="003C3B81">
        <w:rPr>
          <w:rFonts w:ascii="Arial" w:eastAsia="Times New Roman" w:hAnsi="Arial" w:cs="Arial"/>
          <w:sz w:val="26"/>
          <w:szCs w:val="26"/>
          <w:lang w:eastAsia="es-MX"/>
        </w:rPr>
        <w:t xml:space="preserve">el ministro instructor </w:t>
      </w:r>
      <w:r w:rsidR="003520C4">
        <w:rPr>
          <w:rFonts w:ascii="Arial" w:eastAsia="Times New Roman" w:hAnsi="Arial" w:cs="Arial"/>
          <w:sz w:val="26"/>
          <w:szCs w:val="26"/>
          <w:lang w:eastAsia="es-MX"/>
        </w:rPr>
        <w:t>solicitó a la Sala Superior Tribunal Electoral del Poder Judicial de la Federación su opinión respecto de la acci</w:t>
      </w:r>
      <w:r w:rsidR="00EA5474">
        <w:rPr>
          <w:rFonts w:ascii="Arial" w:eastAsia="Times New Roman" w:hAnsi="Arial" w:cs="Arial"/>
          <w:sz w:val="26"/>
          <w:szCs w:val="26"/>
          <w:lang w:eastAsia="es-MX"/>
        </w:rPr>
        <w:t>ón</w:t>
      </w:r>
      <w:r w:rsidR="003520C4">
        <w:rPr>
          <w:rFonts w:ascii="Arial" w:eastAsia="Times New Roman" w:hAnsi="Arial" w:cs="Arial"/>
          <w:sz w:val="26"/>
          <w:szCs w:val="26"/>
          <w:lang w:eastAsia="es-MX"/>
        </w:rPr>
        <w:t xml:space="preserve"> de inconstitucionalidad</w:t>
      </w:r>
      <w:r w:rsidR="006901B7">
        <w:rPr>
          <w:rFonts w:ascii="Arial" w:eastAsia="Times New Roman" w:hAnsi="Arial" w:cs="Arial"/>
          <w:sz w:val="26"/>
          <w:szCs w:val="26"/>
          <w:lang w:eastAsia="es-MX"/>
        </w:rPr>
        <w:t xml:space="preserve"> y</w:t>
      </w:r>
      <w:r w:rsidR="009977F4">
        <w:rPr>
          <w:rFonts w:ascii="Arial" w:eastAsia="Times New Roman" w:hAnsi="Arial" w:cs="Arial"/>
          <w:sz w:val="26"/>
          <w:szCs w:val="26"/>
          <w:lang w:eastAsia="es-MX"/>
        </w:rPr>
        <w:t xml:space="preserve"> requirió al Instituto </w:t>
      </w:r>
      <w:r w:rsidR="00380509">
        <w:rPr>
          <w:rFonts w:ascii="Arial" w:eastAsia="Times New Roman" w:hAnsi="Arial" w:cs="Arial"/>
          <w:sz w:val="26"/>
          <w:szCs w:val="26"/>
          <w:lang w:eastAsia="es-MX"/>
        </w:rPr>
        <w:t xml:space="preserve">Estatal </w:t>
      </w:r>
      <w:r w:rsidR="009977F4">
        <w:rPr>
          <w:rFonts w:ascii="Arial" w:eastAsia="Times New Roman" w:hAnsi="Arial" w:cs="Arial"/>
          <w:sz w:val="26"/>
          <w:szCs w:val="26"/>
          <w:lang w:eastAsia="es-MX"/>
        </w:rPr>
        <w:t xml:space="preserve">Electoral de Chihuahua para que informara cuándo daba inicio el </w:t>
      </w:r>
      <w:r w:rsidR="00380509">
        <w:rPr>
          <w:rFonts w:ascii="Arial" w:eastAsia="Times New Roman" w:hAnsi="Arial" w:cs="Arial"/>
          <w:sz w:val="26"/>
          <w:szCs w:val="26"/>
          <w:lang w:eastAsia="es-MX"/>
        </w:rPr>
        <w:t xml:space="preserve">próximo </w:t>
      </w:r>
      <w:r w:rsidR="009977F4">
        <w:rPr>
          <w:rFonts w:ascii="Arial" w:eastAsia="Times New Roman" w:hAnsi="Arial" w:cs="Arial"/>
          <w:sz w:val="26"/>
          <w:szCs w:val="26"/>
          <w:lang w:eastAsia="es-MX"/>
        </w:rPr>
        <w:t>proceso electoral en la entidad</w:t>
      </w:r>
      <w:r w:rsidR="009977F4" w:rsidRPr="00894B94">
        <w:rPr>
          <w:rStyle w:val="Refdenotaalpie"/>
          <w:rFonts w:ascii="Arial" w:eastAsia="Times New Roman" w:hAnsi="Arial" w:cs="Arial"/>
          <w:sz w:val="26"/>
          <w:szCs w:val="26"/>
          <w:lang w:eastAsia="es-MX"/>
        </w:rPr>
        <w:footnoteReference w:id="6"/>
      </w:r>
      <w:r w:rsidR="009977F4">
        <w:rPr>
          <w:rFonts w:ascii="Arial" w:eastAsia="Times New Roman" w:hAnsi="Arial" w:cs="Arial"/>
          <w:sz w:val="26"/>
          <w:szCs w:val="26"/>
          <w:lang w:eastAsia="es-MX"/>
        </w:rPr>
        <w:t>.</w:t>
      </w:r>
    </w:p>
    <w:p w:rsidR="003520C4" w:rsidRPr="000C3774" w:rsidRDefault="003520C4" w:rsidP="001349C2">
      <w:pPr>
        <w:pStyle w:val="Prrafodelista"/>
        <w:spacing w:after="360" w:line="360" w:lineRule="auto"/>
        <w:ind w:left="0"/>
        <w:jc w:val="both"/>
      </w:pPr>
    </w:p>
    <w:p w:rsidR="00CB4CB3" w:rsidRPr="001349C2" w:rsidRDefault="00CB4CB3" w:rsidP="00CB4CB3">
      <w:pPr>
        <w:pStyle w:val="Prrafodelista"/>
        <w:numPr>
          <w:ilvl w:val="0"/>
          <w:numId w:val="1"/>
        </w:numPr>
        <w:spacing w:after="360" w:line="360" w:lineRule="auto"/>
        <w:ind w:left="0" w:hanging="567"/>
        <w:jc w:val="both"/>
        <w:rPr>
          <w:rFonts w:ascii="Arial" w:eastAsia="Times New Roman" w:hAnsi="Arial" w:cs="Arial"/>
          <w:b/>
          <w:sz w:val="26"/>
          <w:szCs w:val="26"/>
          <w:lang w:eastAsia="es-MX"/>
        </w:rPr>
      </w:pPr>
      <w:r w:rsidRPr="000C3774">
        <w:rPr>
          <w:rFonts w:ascii="Arial" w:hAnsi="Arial" w:cs="Arial"/>
          <w:b/>
          <w:sz w:val="26"/>
          <w:szCs w:val="26"/>
        </w:rPr>
        <w:t>Rendición de informe</w:t>
      </w:r>
      <w:r w:rsidRPr="00AA3D7B">
        <w:rPr>
          <w:rFonts w:ascii="Arial" w:hAnsi="Arial" w:cs="Arial"/>
          <w:b/>
          <w:sz w:val="26"/>
          <w:szCs w:val="26"/>
        </w:rPr>
        <w:t xml:space="preserve"> del Poder Ejecutivo. </w:t>
      </w:r>
      <w:r w:rsidRPr="00AA3D7B">
        <w:rPr>
          <w:rFonts w:ascii="Arial" w:hAnsi="Arial" w:cs="Arial"/>
          <w:sz w:val="26"/>
          <w:szCs w:val="26"/>
        </w:rPr>
        <w:t xml:space="preserve">El </w:t>
      </w:r>
      <w:r w:rsidR="009420C2">
        <w:rPr>
          <w:rFonts w:ascii="Arial" w:hAnsi="Arial" w:cs="Arial"/>
          <w:sz w:val="26"/>
          <w:szCs w:val="26"/>
        </w:rPr>
        <w:t>uno</w:t>
      </w:r>
      <w:r w:rsidRPr="00AA3D7B">
        <w:rPr>
          <w:rFonts w:ascii="Arial" w:hAnsi="Arial" w:cs="Arial"/>
          <w:sz w:val="26"/>
          <w:szCs w:val="26"/>
        </w:rPr>
        <w:t xml:space="preserve"> de septiembre </w:t>
      </w:r>
      <w:r w:rsidR="00716B6F">
        <w:rPr>
          <w:rFonts w:ascii="Arial" w:hAnsi="Arial" w:cs="Arial"/>
          <w:sz w:val="26"/>
          <w:szCs w:val="26"/>
        </w:rPr>
        <w:t>de dos mil veinte</w:t>
      </w:r>
      <w:r w:rsidRPr="00AA3D7B">
        <w:rPr>
          <w:rFonts w:ascii="Arial" w:hAnsi="Arial" w:cs="Arial"/>
          <w:sz w:val="26"/>
          <w:szCs w:val="26"/>
        </w:rPr>
        <w:t xml:space="preserve"> el Poder Ejecutivo de Chihuahua, a través del Director General de Normatividad de la Secretaría General de Gobierno del Estado</w:t>
      </w:r>
      <w:r w:rsidRPr="000C3774">
        <w:rPr>
          <w:rFonts w:ascii="Arial" w:hAnsi="Arial" w:cs="Arial"/>
          <w:sz w:val="26"/>
          <w:szCs w:val="26"/>
        </w:rPr>
        <w:t>, rind</w:t>
      </w:r>
      <w:r w:rsidRPr="00AA3D7B">
        <w:rPr>
          <w:rFonts w:ascii="Arial" w:hAnsi="Arial" w:cs="Arial"/>
          <w:sz w:val="26"/>
          <w:szCs w:val="26"/>
        </w:rPr>
        <w:t xml:space="preserve">ió su informe en el sentido de sostener la validez de los decretos impugnados y remitió el ejemplar del periódico oficial de </w:t>
      </w:r>
      <w:r w:rsidR="00E368CF">
        <w:rPr>
          <w:rFonts w:ascii="Arial" w:hAnsi="Arial" w:cs="Arial"/>
          <w:sz w:val="26"/>
          <w:szCs w:val="26"/>
        </w:rPr>
        <w:t>la entidad federativa</w:t>
      </w:r>
      <w:r w:rsidRPr="00AA3D7B">
        <w:rPr>
          <w:rFonts w:ascii="Arial" w:hAnsi="Arial" w:cs="Arial"/>
          <w:sz w:val="26"/>
          <w:szCs w:val="26"/>
        </w:rPr>
        <w:t xml:space="preserve"> que le </w:t>
      </w:r>
      <w:r w:rsidR="00BE2FD3">
        <w:rPr>
          <w:rFonts w:ascii="Arial" w:hAnsi="Arial" w:cs="Arial"/>
          <w:sz w:val="26"/>
          <w:szCs w:val="26"/>
        </w:rPr>
        <w:t>había sido</w:t>
      </w:r>
      <w:r w:rsidRPr="00AA3D7B">
        <w:rPr>
          <w:rFonts w:ascii="Arial" w:hAnsi="Arial" w:cs="Arial"/>
          <w:sz w:val="26"/>
          <w:szCs w:val="26"/>
        </w:rPr>
        <w:t xml:space="preserve"> requerido</w:t>
      </w:r>
      <w:r w:rsidRPr="00894B94">
        <w:rPr>
          <w:rStyle w:val="Refdenotaalpie"/>
          <w:rFonts w:ascii="Arial" w:hAnsi="Arial" w:cs="Arial"/>
          <w:sz w:val="26"/>
          <w:szCs w:val="26"/>
        </w:rPr>
        <w:footnoteReference w:id="7"/>
      </w:r>
      <w:r w:rsidRPr="000C3774">
        <w:rPr>
          <w:rFonts w:ascii="Arial" w:hAnsi="Arial" w:cs="Arial"/>
          <w:sz w:val="26"/>
          <w:szCs w:val="26"/>
        </w:rPr>
        <w:t>.</w:t>
      </w:r>
    </w:p>
    <w:p w:rsidR="00CB4CB3" w:rsidRDefault="00CB4CB3" w:rsidP="001349C2">
      <w:pPr>
        <w:pStyle w:val="Prrafodelista"/>
        <w:spacing w:after="360" w:line="360" w:lineRule="auto"/>
        <w:ind w:left="0"/>
        <w:jc w:val="both"/>
        <w:rPr>
          <w:rFonts w:ascii="Arial" w:eastAsia="Times New Roman" w:hAnsi="Arial" w:cs="Arial"/>
          <w:b/>
          <w:sz w:val="26"/>
          <w:szCs w:val="26"/>
          <w:lang w:eastAsia="es-MX"/>
        </w:rPr>
      </w:pPr>
    </w:p>
    <w:p w:rsidR="00D3700A" w:rsidRPr="001349C2" w:rsidRDefault="006C6BF1" w:rsidP="001349C2">
      <w:pPr>
        <w:pStyle w:val="Prrafodelista"/>
        <w:numPr>
          <w:ilvl w:val="0"/>
          <w:numId w:val="1"/>
        </w:numPr>
        <w:spacing w:after="360" w:line="360" w:lineRule="auto"/>
        <w:ind w:left="0" w:hanging="567"/>
        <w:jc w:val="both"/>
        <w:rPr>
          <w:rFonts w:ascii="Arial" w:eastAsia="Times New Roman" w:hAnsi="Arial" w:cs="Arial"/>
          <w:b/>
          <w:sz w:val="26"/>
          <w:szCs w:val="26"/>
          <w:lang w:eastAsia="es-MX"/>
        </w:rPr>
      </w:pPr>
      <w:r w:rsidRPr="004438C8">
        <w:rPr>
          <w:rFonts w:ascii="Arial" w:eastAsia="Times New Roman" w:hAnsi="Arial" w:cs="Arial"/>
          <w:b/>
          <w:sz w:val="26"/>
          <w:szCs w:val="26"/>
          <w:lang w:eastAsia="es-MX"/>
        </w:rPr>
        <w:t xml:space="preserve">Desahogo de requerimientos </w:t>
      </w:r>
      <w:r>
        <w:rPr>
          <w:rFonts w:ascii="Arial" w:eastAsia="Times New Roman" w:hAnsi="Arial" w:cs="Arial"/>
          <w:b/>
          <w:sz w:val="26"/>
          <w:szCs w:val="26"/>
          <w:lang w:eastAsia="es-MX"/>
        </w:rPr>
        <w:t xml:space="preserve">por las </w:t>
      </w:r>
      <w:r w:rsidRPr="004438C8">
        <w:rPr>
          <w:rFonts w:ascii="Arial" w:eastAsia="Times New Roman" w:hAnsi="Arial" w:cs="Arial"/>
          <w:b/>
          <w:sz w:val="26"/>
          <w:szCs w:val="26"/>
          <w:lang w:eastAsia="es-MX"/>
        </w:rPr>
        <w:t>autoridades</w:t>
      </w:r>
      <w:r>
        <w:rPr>
          <w:rFonts w:ascii="Arial" w:eastAsia="Times New Roman" w:hAnsi="Arial" w:cs="Arial"/>
          <w:b/>
          <w:sz w:val="26"/>
          <w:szCs w:val="26"/>
          <w:lang w:eastAsia="es-MX"/>
        </w:rPr>
        <w:t xml:space="preserve"> </w:t>
      </w:r>
      <w:r w:rsidRPr="004438C8">
        <w:rPr>
          <w:rFonts w:ascii="Arial" w:eastAsia="Times New Roman" w:hAnsi="Arial" w:cs="Arial"/>
          <w:b/>
          <w:sz w:val="26"/>
          <w:szCs w:val="26"/>
          <w:lang w:eastAsia="es-MX"/>
        </w:rPr>
        <w:t>electorales.</w:t>
      </w:r>
      <w:r w:rsidRPr="004438C8">
        <w:rPr>
          <w:rFonts w:ascii="Arial" w:eastAsia="Times New Roman" w:hAnsi="Arial" w:cs="Arial"/>
          <w:sz w:val="26"/>
          <w:szCs w:val="26"/>
          <w:lang w:eastAsia="es-MX"/>
        </w:rPr>
        <w:t xml:space="preserve"> </w:t>
      </w:r>
      <w:r w:rsidRPr="00540F8A">
        <w:rPr>
          <w:rFonts w:ascii="Arial" w:eastAsia="Times New Roman" w:hAnsi="Arial" w:cs="Arial"/>
          <w:sz w:val="26"/>
          <w:szCs w:val="26"/>
          <w:lang w:eastAsia="es-MX"/>
        </w:rPr>
        <w:t>E</w:t>
      </w:r>
      <w:r w:rsidR="00716B6F">
        <w:rPr>
          <w:rFonts w:ascii="Arial" w:eastAsia="Times New Roman" w:hAnsi="Arial" w:cs="Arial"/>
          <w:sz w:val="26"/>
          <w:szCs w:val="26"/>
          <w:lang w:eastAsia="es-MX"/>
        </w:rPr>
        <w:t>se</w:t>
      </w:r>
      <w:r w:rsidR="00380509">
        <w:rPr>
          <w:rFonts w:ascii="Arial" w:eastAsia="Times New Roman" w:hAnsi="Arial" w:cs="Arial"/>
          <w:sz w:val="26"/>
          <w:szCs w:val="26"/>
          <w:lang w:eastAsia="es-MX"/>
        </w:rPr>
        <w:t xml:space="preserve"> </w:t>
      </w:r>
      <w:r w:rsidR="009420C2">
        <w:rPr>
          <w:rFonts w:ascii="Arial" w:eastAsia="Times New Roman" w:hAnsi="Arial" w:cs="Arial"/>
          <w:sz w:val="26"/>
          <w:szCs w:val="26"/>
          <w:lang w:eastAsia="es-MX"/>
        </w:rPr>
        <w:t xml:space="preserve">mismo </w:t>
      </w:r>
      <w:r w:rsidR="00716B6F">
        <w:rPr>
          <w:rFonts w:ascii="Arial" w:eastAsia="Times New Roman" w:hAnsi="Arial" w:cs="Arial"/>
          <w:sz w:val="26"/>
          <w:szCs w:val="26"/>
          <w:lang w:eastAsia="es-MX"/>
        </w:rPr>
        <w:t>día</w:t>
      </w:r>
      <w:r w:rsidR="00380509">
        <w:rPr>
          <w:rFonts w:ascii="Arial" w:eastAsia="Times New Roman" w:hAnsi="Arial" w:cs="Arial"/>
          <w:sz w:val="26"/>
          <w:szCs w:val="26"/>
          <w:lang w:eastAsia="es-MX"/>
        </w:rPr>
        <w:t xml:space="preserve"> el Consejero Presidente del Instituto Estatal Electoral de Chihuahua informó que el próximo proceso electoral en la entidad federativa daría inicio el primero de octubre de </w:t>
      </w:r>
      <w:r w:rsidR="00716B6F">
        <w:rPr>
          <w:rFonts w:ascii="Arial" w:eastAsia="Times New Roman" w:hAnsi="Arial" w:cs="Arial"/>
          <w:sz w:val="26"/>
          <w:szCs w:val="26"/>
          <w:lang w:eastAsia="es-MX"/>
        </w:rPr>
        <w:t>dos mil veinte</w:t>
      </w:r>
      <w:r w:rsidR="00380509" w:rsidRPr="00894B94">
        <w:rPr>
          <w:rStyle w:val="Refdenotaalpie"/>
          <w:rFonts w:ascii="Arial" w:hAnsi="Arial" w:cs="Arial"/>
          <w:sz w:val="26"/>
          <w:szCs w:val="26"/>
        </w:rPr>
        <w:footnoteReference w:id="8"/>
      </w:r>
      <w:r w:rsidR="00380509">
        <w:rPr>
          <w:rFonts w:ascii="Arial" w:eastAsia="Times New Roman" w:hAnsi="Arial" w:cs="Arial"/>
          <w:sz w:val="26"/>
          <w:szCs w:val="26"/>
          <w:lang w:eastAsia="es-MX"/>
        </w:rPr>
        <w:t xml:space="preserve">. </w:t>
      </w:r>
      <w:r w:rsidR="009233E1">
        <w:rPr>
          <w:rFonts w:ascii="Arial" w:eastAsia="Times New Roman" w:hAnsi="Arial" w:cs="Arial"/>
          <w:sz w:val="26"/>
          <w:szCs w:val="26"/>
          <w:lang w:eastAsia="es-MX"/>
        </w:rPr>
        <w:t>Por su parte, e</w:t>
      </w:r>
      <w:r w:rsidR="00380509">
        <w:rPr>
          <w:rFonts w:ascii="Arial" w:eastAsia="Times New Roman" w:hAnsi="Arial" w:cs="Arial"/>
          <w:sz w:val="26"/>
          <w:szCs w:val="26"/>
          <w:lang w:eastAsia="es-MX"/>
        </w:rPr>
        <w:t>l</w:t>
      </w:r>
      <w:r w:rsidRPr="00540F8A">
        <w:rPr>
          <w:rFonts w:ascii="Arial" w:eastAsia="Times New Roman" w:hAnsi="Arial" w:cs="Arial"/>
          <w:sz w:val="26"/>
          <w:szCs w:val="26"/>
          <w:lang w:eastAsia="es-MX"/>
        </w:rPr>
        <w:t xml:space="preserve"> </w:t>
      </w:r>
      <w:r w:rsidR="00B40C2D" w:rsidRPr="001349C2">
        <w:rPr>
          <w:rFonts w:ascii="Arial" w:eastAsia="Times New Roman" w:hAnsi="Arial" w:cs="Arial"/>
          <w:sz w:val="26"/>
          <w:szCs w:val="26"/>
          <w:lang w:eastAsia="es-MX"/>
        </w:rPr>
        <w:t xml:space="preserve">siete </w:t>
      </w:r>
      <w:r w:rsidRPr="001349C2">
        <w:rPr>
          <w:rFonts w:ascii="Arial" w:eastAsia="Times New Roman" w:hAnsi="Arial" w:cs="Arial"/>
          <w:sz w:val="26"/>
          <w:szCs w:val="26"/>
          <w:lang w:eastAsia="es-MX"/>
        </w:rPr>
        <w:t>de septiembre</w:t>
      </w:r>
      <w:r w:rsidRPr="00540F8A">
        <w:rPr>
          <w:rFonts w:ascii="Arial" w:eastAsia="Times New Roman" w:hAnsi="Arial" w:cs="Arial"/>
          <w:color w:val="FF0000"/>
          <w:sz w:val="26"/>
          <w:szCs w:val="26"/>
          <w:lang w:eastAsia="es-MX"/>
        </w:rPr>
        <w:t xml:space="preserve"> </w:t>
      </w:r>
      <w:r w:rsidR="00716B6F">
        <w:rPr>
          <w:rFonts w:ascii="Arial" w:eastAsia="Times New Roman" w:hAnsi="Arial" w:cs="Arial"/>
          <w:sz w:val="26"/>
          <w:szCs w:val="26"/>
          <w:lang w:eastAsia="es-MX"/>
        </w:rPr>
        <w:t>siguiente</w:t>
      </w:r>
      <w:r w:rsidRPr="00540F8A">
        <w:rPr>
          <w:rFonts w:ascii="Arial" w:eastAsia="Times New Roman" w:hAnsi="Arial" w:cs="Arial"/>
          <w:sz w:val="26"/>
          <w:szCs w:val="26"/>
          <w:lang w:eastAsia="es-MX"/>
        </w:rPr>
        <w:t xml:space="preserve"> </w:t>
      </w:r>
      <w:r>
        <w:rPr>
          <w:rFonts w:ascii="Arial" w:hAnsi="Arial" w:cs="Arial"/>
          <w:sz w:val="26"/>
          <w:szCs w:val="26"/>
        </w:rPr>
        <w:t>la Sala Superior del Tribunal Electoral del Poder Judicial de la Federación remitió su opinión sobre la acción de inconstitucionalidad. Por un lado, señaló que no podía emitir</w:t>
      </w:r>
      <w:r w:rsidR="005664DB">
        <w:rPr>
          <w:rFonts w:ascii="Arial" w:hAnsi="Arial" w:cs="Arial"/>
          <w:sz w:val="26"/>
          <w:szCs w:val="26"/>
        </w:rPr>
        <w:t xml:space="preserve"> </w:t>
      </w:r>
      <w:r w:rsidR="00F508C8">
        <w:rPr>
          <w:rFonts w:ascii="Arial" w:hAnsi="Arial" w:cs="Arial"/>
          <w:sz w:val="26"/>
          <w:szCs w:val="26"/>
        </w:rPr>
        <w:t>juicio alguno</w:t>
      </w:r>
      <w:r>
        <w:rPr>
          <w:rFonts w:ascii="Arial" w:hAnsi="Arial" w:cs="Arial"/>
          <w:sz w:val="26"/>
          <w:szCs w:val="26"/>
        </w:rPr>
        <w:t xml:space="preserve"> en relación con los </w:t>
      </w:r>
      <w:r w:rsidR="009233E1">
        <w:rPr>
          <w:rFonts w:ascii="Arial" w:hAnsi="Arial" w:cs="Arial"/>
          <w:sz w:val="26"/>
          <w:szCs w:val="26"/>
        </w:rPr>
        <w:t>decretos que reformaban</w:t>
      </w:r>
      <w:r>
        <w:rPr>
          <w:rFonts w:ascii="Arial" w:hAnsi="Arial" w:cs="Arial"/>
          <w:sz w:val="26"/>
          <w:szCs w:val="26"/>
        </w:rPr>
        <w:t xml:space="preserve"> la Constitución Política, la L</w:t>
      </w:r>
      <w:r w:rsidR="003F69E5">
        <w:rPr>
          <w:rFonts w:ascii="Arial" w:hAnsi="Arial" w:cs="Arial"/>
          <w:sz w:val="26"/>
          <w:szCs w:val="26"/>
        </w:rPr>
        <w:t>ey Orgánica del Poder Judicial</w:t>
      </w:r>
      <w:r w:rsidR="00DC79B9">
        <w:rPr>
          <w:rFonts w:ascii="Arial" w:hAnsi="Arial" w:cs="Arial"/>
          <w:sz w:val="26"/>
          <w:szCs w:val="26"/>
        </w:rPr>
        <w:t>,</w:t>
      </w:r>
      <w:r w:rsidR="003F69E5">
        <w:rPr>
          <w:rFonts w:ascii="Arial" w:hAnsi="Arial" w:cs="Arial"/>
          <w:sz w:val="26"/>
          <w:szCs w:val="26"/>
        </w:rPr>
        <w:t xml:space="preserve"> ni</w:t>
      </w:r>
      <w:r>
        <w:rPr>
          <w:rFonts w:ascii="Arial" w:hAnsi="Arial" w:cs="Arial"/>
          <w:sz w:val="26"/>
          <w:szCs w:val="26"/>
        </w:rPr>
        <w:t xml:space="preserve"> la Ley de Derechos de los Pueblos </w:t>
      </w:r>
      <w:r>
        <w:rPr>
          <w:rFonts w:ascii="Arial" w:hAnsi="Arial" w:cs="Arial"/>
          <w:sz w:val="26"/>
          <w:szCs w:val="26"/>
        </w:rPr>
        <w:lastRenderedPageBreak/>
        <w:t>Indígenas, tod</w:t>
      </w:r>
      <w:r w:rsidR="005D33FA">
        <w:rPr>
          <w:rFonts w:ascii="Arial" w:hAnsi="Arial" w:cs="Arial"/>
          <w:sz w:val="26"/>
          <w:szCs w:val="26"/>
        </w:rPr>
        <w:t>a</w:t>
      </w:r>
      <w:r>
        <w:rPr>
          <w:rFonts w:ascii="Arial" w:hAnsi="Arial" w:cs="Arial"/>
          <w:sz w:val="26"/>
          <w:szCs w:val="26"/>
        </w:rPr>
        <w:t>s del Estado de Chihuahua, toda vez que</w:t>
      </w:r>
      <w:r w:rsidR="00CA2DBB">
        <w:rPr>
          <w:rFonts w:ascii="Arial" w:hAnsi="Arial" w:cs="Arial"/>
          <w:sz w:val="26"/>
          <w:szCs w:val="26"/>
        </w:rPr>
        <w:t xml:space="preserve"> las reformas</w:t>
      </w:r>
      <w:r>
        <w:rPr>
          <w:rFonts w:ascii="Arial" w:hAnsi="Arial" w:cs="Arial"/>
          <w:sz w:val="26"/>
          <w:szCs w:val="26"/>
        </w:rPr>
        <w:t xml:space="preserve"> no se </w:t>
      </w:r>
      <w:r w:rsidR="009233E1">
        <w:rPr>
          <w:rFonts w:ascii="Arial" w:hAnsi="Arial" w:cs="Arial"/>
          <w:sz w:val="26"/>
          <w:szCs w:val="26"/>
        </w:rPr>
        <w:t xml:space="preserve">encontraban </w:t>
      </w:r>
      <w:r>
        <w:rPr>
          <w:rFonts w:ascii="Arial" w:hAnsi="Arial" w:cs="Arial"/>
          <w:sz w:val="26"/>
          <w:szCs w:val="26"/>
        </w:rPr>
        <w:t>relacionad</w:t>
      </w:r>
      <w:r w:rsidR="005D33FA">
        <w:rPr>
          <w:rFonts w:ascii="Arial" w:hAnsi="Arial" w:cs="Arial"/>
          <w:sz w:val="26"/>
          <w:szCs w:val="26"/>
        </w:rPr>
        <w:t>a</w:t>
      </w:r>
      <w:r>
        <w:rPr>
          <w:rFonts w:ascii="Arial" w:hAnsi="Arial" w:cs="Arial"/>
          <w:sz w:val="26"/>
          <w:szCs w:val="26"/>
        </w:rPr>
        <w:t xml:space="preserve">s con la materia electoral </w:t>
      </w:r>
      <w:r w:rsidR="00784609">
        <w:rPr>
          <w:rFonts w:ascii="Arial" w:hAnsi="Arial" w:cs="Arial"/>
          <w:sz w:val="26"/>
          <w:szCs w:val="26"/>
        </w:rPr>
        <w:t>ni requerían</w:t>
      </w:r>
      <w:r>
        <w:rPr>
          <w:rFonts w:ascii="Arial" w:hAnsi="Arial" w:cs="Arial"/>
          <w:sz w:val="26"/>
          <w:szCs w:val="26"/>
        </w:rPr>
        <w:t>, por tanto, de una opinión especializada. En relación con</w:t>
      </w:r>
      <w:r w:rsidR="009233E1">
        <w:rPr>
          <w:rFonts w:ascii="Arial" w:hAnsi="Arial" w:cs="Arial"/>
          <w:sz w:val="26"/>
          <w:szCs w:val="26"/>
        </w:rPr>
        <w:t xml:space="preserve"> el Decreto N° </w:t>
      </w:r>
      <w:r w:rsidR="009233E1" w:rsidRPr="005F336A">
        <w:rPr>
          <w:rFonts w:ascii="Arial" w:hAnsi="Arial" w:cs="Arial"/>
          <w:sz w:val="26"/>
          <w:szCs w:val="26"/>
          <w:lang w:val="en-US"/>
        </w:rPr>
        <w:t>LXVI/RFLEY/0513/2019 I P.O.</w:t>
      </w:r>
      <w:r w:rsidR="005664DB">
        <w:rPr>
          <w:rFonts w:ascii="Arial" w:hAnsi="Arial" w:cs="Arial"/>
          <w:sz w:val="26"/>
          <w:szCs w:val="26"/>
          <w:lang w:val="en-US"/>
        </w:rPr>
        <w:t xml:space="preserve"> (</w:t>
      </w:r>
      <w:r w:rsidR="005664DB" w:rsidRPr="001349C2">
        <w:rPr>
          <w:rFonts w:ascii="Arial" w:hAnsi="Arial" w:cs="Arial"/>
          <w:i/>
          <w:iCs/>
          <w:sz w:val="26"/>
          <w:szCs w:val="26"/>
          <w:lang w:val="en-US"/>
        </w:rPr>
        <w:t>supra</w:t>
      </w:r>
      <w:r w:rsidR="005664DB">
        <w:rPr>
          <w:rFonts w:ascii="Arial" w:hAnsi="Arial" w:cs="Arial"/>
          <w:sz w:val="26"/>
          <w:szCs w:val="26"/>
          <w:lang w:val="en-US"/>
        </w:rPr>
        <w:t xml:space="preserve"> párr. 2)</w:t>
      </w:r>
      <w:r>
        <w:rPr>
          <w:rFonts w:ascii="Arial" w:hAnsi="Arial" w:cs="Arial"/>
          <w:sz w:val="26"/>
          <w:szCs w:val="26"/>
        </w:rPr>
        <w:t xml:space="preserve">, </w:t>
      </w:r>
      <w:r w:rsidR="009233E1">
        <w:rPr>
          <w:rFonts w:ascii="Arial" w:hAnsi="Arial" w:cs="Arial"/>
          <w:sz w:val="26"/>
          <w:szCs w:val="26"/>
        </w:rPr>
        <w:t>en cambio</w:t>
      </w:r>
      <w:r>
        <w:rPr>
          <w:rFonts w:ascii="Arial" w:hAnsi="Arial" w:cs="Arial"/>
          <w:sz w:val="26"/>
          <w:szCs w:val="26"/>
        </w:rPr>
        <w:t xml:space="preserve">, la Sala Superior se pronunció por </w:t>
      </w:r>
      <w:r w:rsidR="00D87768">
        <w:rPr>
          <w:rFonts w:ascii="Arial" w:hAnsi="Arial" w:cs="Arial"/>
          <w:sz w:val="26"/>
          <w:szCs w:val="26"/>
        </w:rPr>
        <w:t>la</w:t>
      </w:r>
      <w:r w:rsidR="005F70AE">
        <w:rPr>
          <w:rFonts w:ascii="Arial" w:hAnsi="Arial" w:cs="Arial"/>
          <w:sz w:val="26"/>
          <w:szCs w:val="26"/>
        </w:rPr>
        <w:t xml:space="preserve"> </w:t>
      </w:r>
      <w:r>
        <w:rPr>
          <w:rFonts w:ascii="Arial" w:hAnsi="Arial" w:cs="Arial"/>
          <w:sz w:val="26"/>
          <w:szCs w:val="26"/>
        </w:rPr>
        <w:t>inconstitucionalidad</w:t>
      </w:r>
      <w:r w:rsidR="00D87768">
        <w:rPr>
          <w:rFonts w:ascii="Arial" w:hAnsi="Arial" w:cs="Arial"/>
          <w:sz w:val="26"/>
          <w:szCs w:val="26"/>
        </w:rPr>
        <w:t xml:space="preserve"> del instrumento</w:t>
      </w:r>
      <w:r w:rsidR="005D33FA">
        <w:rPr>
          <w:rFonts w:ascii="Arial" w:hAnsi="Arial" w:cs="Arial"/>
          <w:sz w:val="26"/>
          <w:szCs w:val="26"/>
        </w:rPr>
        <w:t>. Estimó</w:t>
      </w:r>
      <w:r>
        <w:rPr>
          <w:rFonts w:ascii="Arial" w:hAnsi="Arial" w:cs="Arial"/>
          <w:sz w:val="26"/>
          <w:szCs w:val="26"/>
        </w:rPr>
        <w:t xml:space="preserve"> que </w:t>
      </w:r>
      <w:r w:rsidR="00032E0A">
        <w:rPr>
          <w:rFonts w:ascii="Arial" w:hAnsi="Arial" w:cs="Arial"/>
          <w:sz w:val="26"/>
          <w:szCs w:val="26"/>
        </w:rPr>
        <w:t>al expedir</w:t>
      </w:r>
      <w:r w:rsidR="00784609">
        <w:rPr>
          <w:rFonts w:ascii="Arial" w:hAnsi="Arial" w:cs="Arial"/>
          <w:sz w:val="26"/>
          <w:szCs w:val="26"/>
        </w:rPr>
        <w:t xml:space="preserve">se dicho </w:t>
      </w:r>
      <w:r w:rsidR="00D87768">
        <w:rPr>
          <w:rFonts w:ascii="Arial" w:hAnsi="Arial" w:cs="Arial"/>
          <w:sz w:val="26"/>
          <w:szCs w:val="26"/>
        </w:rPr>
        <w:t xml:space="preserve">decreto </w:t>
      </w:r>
      <w:r>
        <w:rPr>
          <w:rFonts w:ascii="Arial" w:hAnsi="Arial" w:cs="Arial"/>
          <w:sz w:val="26"/>
          <w:szCs w:val="26"/>
        </w:rPr>
        <w:t xml:space="preserve">se </w:t>
      </w:r>
      <w:r w:rsidR="00B34384">
        <w:rPr>
          <w:rFonts w:ascii="Arial" w:hAnsi="Arial" w:cs="Arial"/>
          <w:sz w:val="26"/>
          <w:szCs w:val="26"/>
        </w:rPr>
        <w:t xml:space="preserve">había incumplido </w:t>
      </w:r>
      <w:r>
        <w:rPr>
          <w:rFonts w:ascii="Arial" w:hAnsi="Arial" w:cs="Arial"/>
          <w:sz w:val="26"/>
          <w:szCs w:val="26"/>
        </w:rPr>
        <w:t>la obligación de consultar a los pueblos y comunidades indígenas</w:t>
      </w:r>
      <w:r w:rsidR="00DC79B9">
        <w:rPr>
          <w:rFonts w:ascii="Arial" w:hAnsi="Arial" w:cs="Arial"/>
          <w:sz w:val="26"/>
          <w:szCs w:val="26"/>
        </w:rPr>
        <w:t xml:space="preserve"> de la entidad federativa</w:t>
      </w:r>
      <w:r>
        <w:rPr>
          <w:rFonts w:ascii="Arial" w:hAnsi="Arial" w:cs="Arial"/>
          <w:sz w:val="26"/>
          <w:szCs w:val="26"/>
        </w:rPr>
        <w:t xml:space="preserve"> sobre medidas y acciones que afect</w:t>
      </w:r>
      <w:r w:rsidR="00B34384">
        <w:rPr>
          <w:rFonts w:ascii="Arial" w:hAnsi="Arial" w:cs="Arial"/>
          <w:sz w:val="26"/>
          <w:szCs w:val="26"/>
        </w:rPr>
        <w:t>ara</w:t>
      </w:r>
      <w:r>
        <w:rPr>
          <w:rFonts w:ascii="Arial" w:hAnsi="Arial" w:cs="Arial"/>
          <w:sz w:val="26"/>
          <w:szCs w:val="26"/>
        </w:rPr>
        <w:t>n sus derechos e intereses</w:t>
      </w:r>
      <w:r w:rsidRPr="00894B94">
        <w:rPr>
          <w:rStyle w:val="Refdenotaalpie"/>
          <w:rFonts w:ascii="Arial" w:eastAsia="Times New Roman" w:hAnsi="Arial" w:cs="Arial"/>
          <w:sz w:val="26"/>
          <w:szCs w:val="26"/>
          <w:lang w:eastAsia="es-MX"/>
        </w:rPr>
        <w:footnoteReference w:id="9"/>
      </w:r>
      <w:r>
        <w:rPr>
          <w:rFonts w:ascii="Arial" w:hAnsi="Arial" w:cs="Arial"/>
          <w:sz w:val="26"/>
          <w:szCs w:val="26"/>
        </w:rPr>
        <w:t>.</w:t>
      </w:r>
      <w:r w:rsidR="00CC697A">
        <w:rPr>
          <w:rFonts w:ascii="Arial" w:hAnsi="Arial" w:cs="Arial"/>
          <w:sz w:val="26"/>
          <w:szCs w:val="26"/>
        </w:rPr>
        <w:t xml:space="preserve"> </w:t>
      </w:r>
    </w:p>
    <w:p w:rsidR="008A7F6D" w:rsidRPr="001349C2" w:rsidRDefault="008A7F6D" w:rsidP="001349C2">
      <w:pPr>
        <w:pStyle w:val="Prrafodelista"/>
        <w:spacing w:after="360" w:line="360" w:lineRule="auto"/>
        <w:ind w:left="0"/>
        <w:jc w:val="both"/>
        <w:rPr>
          <w:rFonts w:ascii="Arial" w:eastAsia="Times New Roman" w:hAnsi="Arial" w:cs="Arial"/>
          <w:b/>
          <w:sz w:val="26"/>
          <w:szCs w:val="26"/>
          <w:lang w:eastAsia="es-MX"/>
        </w:rPr>
      </w:pPr>
    </w:p>
    <w:p w:rsidR="00D3700A" w:rsidRDefault="00CE0FC8" w:rsidP="006C6BF1">
      <w:pPr>
        <w:pStyle w:val="Prrafodelista"/>
        <w:numPr>
          <w:ilvl w:val="0"/>
          <w:numId w:val="1"/>
        </w:numPr>
        <w:spacing w:after="360" w:line="360" w:lineRule="auto"/>
        <w:ind w:left="0" w:hanging="567"/>
        <w:jc w:val="both"/>
        <w:rPr>
          <w:rFonts w:ascii="Arial" w:eastAsia="Times New Roman" w:hAnsi="Arial" w:cs="Arial"/>
          <w:b/>
          <w:sz w:val="26"/>
          <w:szCs w:val="26"/>
          <w:lang w:eastAsia="es-MX"/>
        </w:rPr>
      </w:pPr>
      <w:r>
        <w:rPr>
          <w:rFonts w:ascii="Arial" w:hAnsi="Arial" w:cs="Arial"/>
          <w:b/>
          <w:sz w:val="26"/>
          <w:szCs w:val="26"/>
        </w:rPr>
        <w:t>Presentaci</w:t>
      </w:r>
      <w:r w:rsidR="00E368CF">
        <w:rPr>
          <w:rFonts w:ascii="Arial" w:hAnsi="Arial" w:cs="Arial"/>
          <w:b/>
          <w:sz w:val="26"/>
          <w:szCs w:val="26"/>
        </w:rPr>
        <w:t>ón extemporánea del i</w:t>
      </w:r>
      <w:r w:rsidR="00D3700A" w:rsidRPr="00F55D37">
        <w:rPr>
          <w:rFonts w:ascii="Arial" w:hAnsi="Arial" w:cs="Arial"/>
          <w:b/>
          <w:sz w:val="26"/>
          <w:szCs w:val="26"/>
        </w:rPr>
        <w:t>nforme del Poder Legislativo.</w:t>
      </w:r>
      <w:r w:rsidR="00D3700A">
        <w:rPr>
          <w:rFonts w:ascii="Arial" w:hAnsi="Arial" w:cs="Arial"/>
          <w:sz w:val="26"/>
          <w:szCs w:val="26"/>
        </w:rPr>
        <w:t xml:space="preserve"> </w:t>
      </w:r>
      <w:r w:rsidR="00E368CF">
        <w:rPr>
          <w:rFonts w:ascii="Arial" w:hAnsi="Arial" w:cs="Arial"/>
          <w:sz w:val="26"/>
          <w:szCs w:val="26"/>
        </w:rPr>
        <w:t>E</w:t>
      </w:r>
      <w:r w:rsidR="00D3700A" w:rsidRPr="00C711BF">
        <w:rPr>
          <w:rFonts w:ascii="Arial" w:hAnsi="Arial" w:cs="Arial"/>
          <w:sz w:val="26"/>
          <w:szCs w:val="26"/>
        </w:rPr>
        <w:t xml:space="preserve">l </w:t>
      </w:r>
      <w:r w:rsidR="00E368CF">
        <w:rPr>
          <w:rFonts w:ascii="Arial" w:hAnsi="Arial" w:cs="Arial"/>
          <w:sz w:val="26"/>
          <w:szCs w:val="26"/>
        </w:rPr>
        <w:t>nueve</w:t>
      </w:r>
      <w:r w:rsidR="00D3700A" w:rsidRPr="001349C2">
        <w:rPr>
          <w:rFonts w:ascii="Arial" w:hAnsi="Arial" w:cs="Arial"/>
          <w:sz w:val="26"/>
          <w:szCs w:val="26"/>
        </w:rPr>
        <w:t xml:space="preserve"> de septiembre</w:t>
      </w:r>
      <w:r w:rsidR="00D3700A">
        <w:rPr>
          <w:rFonts w:ascii="Arial" w:hAnsi="Arial" w:cs="Arial"/>
          <w:color w:val="FF0000"/>
          <w:sz w:val="26"/>
          <w:szCs w:val="26"/>
        </w:rPr>
        <w:t xml:space="preserve"> </w:t>
      </w:r>
      <w:r w:rsidR="00D3700A" w:rsidRPr="00F06273">
        <w:rPr>
          <w:rFonts w:ascii="Arial" w:hAnsi="Arial" w:cs="Arial"/>
          <w:sz w:val="26"/>
          <w:szCs w:val="26"/>
        </w:rPr>
        <w:t xml:space="preserve">de dos mil veinte </w:t>
      </w:r>
      <w:r w:rsidR="00D3700A">
        <w:rPr>
          <w:rFonts w:ascii="Arial" w:hAnsi="Arial" w:cs="Arial"/>
          <w:sz w:val="26"/>
          <w:szCs w:val="26"/>
        </w:rPr>
        <w:t>el</w:t>
      </w:r>
      <w:r w:rsidR="00D3700A" w:rsidRPr="0031379F">
        <w:rPr>
          <w:rFonts w:ascii="Arial" w:hAnsi="Arial" w:cs="Arial"/>
          <w:sz w:val="26"/>
          <w:szCs w:val="26"/>
        </w:rPr>
        <w:t xml:space="preserve"> </w:t>
      </w:r>
      <w:r w:rsidR="00D3700A">
        <w:rPr>
          <w:rFonts w:ascii="Arial" w:hAnsi="Arial" w:cs="Arial"/>
          <w:sz w:val="26"/>
          <w:szCs w:val="26"/>
        </w:rPr>
        <w:t>Poder Legislativo</w:t>
      </w:r>
      <w:r w:rsidR="00D3700A" w:rsidRPr="00C711BF">
        <w:rPr>
          <w:rFonts w:ascii="Arial" w:hAnsi="Arial" w:cs="Arial"/>
          <w:sz w:val="26"/>
          <w:szCs w:val="26"/>
        </w:rPr>
        <w:t xml:space="preserve"> de </w:t>
      </w:r>
      <w:r w:rsidR="00D3700A">
        <w:rPr>
          <w:rFonts w:ascii="Arial" w:hAnsi="Arial" w:cs="Arial"/>
          <w:sz w:val="26"/>
          <w:szCs w:val="26"/>
        </w:rPr>
        <w:t>Chihuahua,</w:t>
      </w:r>
      <w:r w:rsidR="00D3700A" w:rsidRPr="00C711BF">
        <w:rPr>
          <w:rFonts w:ascii="Arial" w:hAnsi="Arial" w:cs="Arial"/>
          <w:sz w:val="26"/>
          <w:szCs w:val="26"/>
        </w:rPr>
        <w:t xml:space="preserve"> </w:t>
      </w:r>
      <w:r w:rsidR="00D3700A">
        <w:rPr>
          <w:rFonts w:ascii="Arial" w:hAnsi="Arial" w:cs="Arial"/>
          <w:sz w:val="26"/>
          <w:szCs w:val="26"/>
        </w:rPr>
        <w:t>a través del</w:t>
      </w:r>
      <w:r w:rsidR="00D3700A" w:rsidRPr="00C711BF">
        <w:rPr>
          <w:rFonts w:ascii="Arial" w:hAnsi="Arial" w:cs="Arial"/>
          <w:sz w:val="26"/>
          <w:szCs w:val="26"/>
        </w:rPr>
        <w:t xml:space="preserve"> </w:t>
      </w:r>
      <w:r w:rsidR="00D3700A">
        <w:rPr>
          <w:rFonts w:ascii="Arial" w:hAnsi="Arial" w:cs="Arial"/>
          <w:sz w:val="26"/>
          <w:szCs w:val="26"/>
        </w:rPr>
        <w:t xml:space="preserve">Titular de la Secretaría de Asuntos Legislativos y Jurídicos del Congreso </w:t>
      </w:r>
      <w:r w:rsidR="005D33FA">
        <w:rPr>
          <w:rFonts w:ascii="Arial" w:hAnsi="Arial" w:cs="Arial"/>
          <w:sz w:val="26"/>
          <w:szCs w:val="26"/>
        </w:rPr>
        <w:t>del Estado,</w:t>
      </w:r>
      <w:r w:rsidR="00D3700A">
        <w:rPr>
          <w:rFonts w:ascii="Arial" w:hAnsi="Arial" w:cs="Arial"/>
          <w:sz w:val="26"/>
          <w:szCs w:val="26"/>
        </w:rPr>
        <w:t xml:space="preserve"> </w:t>
      </w:r>
      <w:r w:rsidR="00E368CF">
        <w:rPr>
          <w:rFonts w:ascii="Arial" w:hAnsi="Arial" w:cs="Arial"/>
          <w:sz w:val="26"/>
          <w:szCs w:val="26"/>
        </w:rPr>
        <w:t>remitió</w:t>
      </w:r>
      <w:r w:rsidR="00D3700A">
        <w:rPr>
          <w:rFonts w:ascii="Arial" w:hAnsi="Arial" w:cs="Arial"/>
          <w:sz w:val="26"/>
          <w:szCs w:val="26"/>
        </w:rPr>
        <w:t xml:space="preserve"> </w:t>
      </w:r>
      <w:r w:rsidR="00E21850">
        <w:rPr>
          <w:rFonts w:ascii="Arial" w:hAnsi="Arial" w:cs="Arial"/>
          <w:sz w:val="26"/>
          <w:szCs w:val="26"/>
        </w:rPr>
        <w:t xml:space="preserve">un escrito con </w:t>
      </w:r>
      <w:r w:rsidR="00D3700A">
        <w:rPr>
          <w:rFonts w:ascii="Arial" w:hAnsi="Arial" w:cs="Arial"/>
          <w:sz w:val="26"/>
          <w:szCs w:val="26"/>
        </w:rPr>
        <w:t>su informe</w:t>
      </w:r>
      <w:r w:rsidR="00D3700A" w:rsidRPr="00894B94">
        <w:rPr>
          <w:rStyle w:val="Refdenotaalpie"/>
          <w:rFonts w:ascii="Arial" w:hAnsi="Arial" w:cs="Arial"/>
          <w:sz w:val="26"/>
          <w:szCs w:val="26"/>
        </w:rPr>
        <w:footnoteReference w:id="10"/>
      </w:r>
      <w:r w:rsidR="00D3700A" w:rsidRPr="004438C8">
        <w:rPr>
          <w:rFonts w:ascii="Arial" w:hAnsi="Arial" w:cs="Arial"/>
          <w:sz w:val="26"/>
          <w:szCs w:val="26"/>
        </w:rPr>
        <w:t>.</w:t>
      </w:r>
      <w:r w:rsidR="00D3700A" w:rsidRPr="00C711BF">
        <w:rPr>
          <w:rFonts w:ascii="Arial" w:hAnsi="Arial" w:cs="Arial"/>
          <w:sz w:val="26"/>
          <w:szCs w:val="26"/>
        </w:rPr>
        <w:t xml:space="preserve"> </w:t>
      </w:r>
      <w:r w:rsidR="00D3700A">
        <w:rPr>
          <w:rFonts w:ascii="Arial" w:hAnsi="Arial" w:cs="Arial"/>
          <w:sz w:val="26"/>
          <w:szCs w:val="26"/>
        </w:rPr>
        <w:t xml:space="preserve">Sin embargo, </w:t>
      </w:r>
      <w:r w:rsidR="00E368CF">
        <w:rPr>
          <w:rFonts w:ascii="Arial" w:hAnsi="Arial" w:cs="Arial"/>
          <w:sz w:val="26"/>
          <w:szCs w:val="26"/>
        </w:rPr>
        <w:t xml:space="preserve">dado que </w:t>
      </w:r>
      <w:r w:rsidR="00186512">
        <w:rPr>
          <w:rFonts w:ascii="Arial" w:hAnsi="Arial" w:cs="Arial"/>
          <w:sz w:val="26"/>
          <w:szCs w:val="26"/>
        </w:rPr>
        <w:t>su</w:t>
      </w:r>
      <w:r>
        <w:rPr>
          <w:rFonts w:ascii="Arial" w:hAnsi="Arial" w:cs="Arial"/>
          <w:sz w:val="26"/>
          <w:szCs w:val="26"/>
        </w:rPr>
        <w:t xml:space="preserve"> presentación</w:t>
      </w:r>
      <w:r w:rsidR="00D3700A">
        <w:rPr>
          <w:rFonts w:ascii="Arial" w:hAnsi="Arial" w:cs="Arial"/>
          <w:sz w:val="26"/>
          <w:szCs w:val="26"/>
        </w:rPr>
        <w:t xml:space="preserve"> </w:t>
      </w:r>
      <w:r w:rsidR="00CD170C">
        <w:rPr>
          <w:rFonts w:ascii="Arial" w:hAnsi="Arial" w:cs="Arial"/>
          <w:sz w:val="26"/>
          <w:szCs w:val="26"/>
        </w:rPr>
        <w:t xml:space="preserve">había </w:t>
      </w:r>
      <w:r w:rsidR="00E21850">
        <w:rPr>
          <w:rFonts w:ascii="Arial" w:hAnsi="Arial" w:cs="Arial"/>
          <w:sz w:val="26"/>
          <w:szCs w:val="26"/>
        </w:rPr>
        <w:t>exced</w:t>
      </w:r>
      <w:r w:rsidR="008E39CF">
        <w:rPr>
          <w:rFonts w:ascii="Arial" w:hAnsi="Arial" w:cs="Arial"/>
          <w:sz w:val="26"/>
          <w:szCs w:val="26"/>
        </w:rPr>
        <w:t>i</w:t>
      </w:r>
      <w:r w:rsidR="00CD170C">
        <w:rPr>
          <w:rFonts w:ascii="Arial" w:hAnsi="Arial" w:cs="Arial"/>
          <w:sz w:val="26"/>
          <w:szCs w:val="26"/>
        </w:rPr>
        <w:t>do</w:t>
      </w:r>
      <w:r w:rsidR="00D3700A">
        <w:rPr>
          <w:rFonts w:ascii="Arial" w:hAnsi="Arial" w:cs="Arial"/>
          <w:sz w:val="26"/>
          <w:szCs w:val="26"/>
        </w:rPr>
        <w:t xml:space="preserve"> el plazo de </w:t>
      </w:r>
      <w:r w:rsidR="00E368CF">
        <w:rPr>
          <w:rFonts w:ascii="Arial" w:hAnsi="Arial" w:cs="Arial"/>
          <w:sz w:val="26"/>
          <w:szCs w:val="26"/>
        </w:rPr>
        <w:t>seis</w:t>
      </w:r>
      <w:r w:rsidR="00D3700A">
        <w:rPr>
          <w:rFonts w:ascii="Arial" w:hAnsi="Arial" w:cs="Arial"/>
          <w:sz w:val="26"/>
          <w:szCs w:val="26"/>
        </w:rPr>
        <w:t xml:space="preserve"> días</w:t>
      </w:r>
      <w:r w:rsidR="00186512">
        <w:rPr>
          <w:rFonts w:ascii="Arial" w:hAnsi="Arial" w:cs="Arial"/>
          <w:sz w:val="26"/>
          <w:szCs w:val="26"/>
        </w:rPr>
        <w:t xml:space="preserve"> naturales</w:t>
      </w:r>
      <w:r w:rsidR="00D3700A">
        <w:rPr>
          <w:rFonts w:ascii="Arial" w:hAnsi="Arial" w:cs="Arial"/>
          <w:sz w:val="26"/>
          <w:szCs w:val="26"/>
        </w:rPr>
        <w:t xml:space="preserve"> </w:t>
      </w:r>
      <w:r w:rsidR="00E21850">
        <w:rPr>
          <w:rFonts w:ascii="Arial" w:hAnsi="Arial" w:cs="Arial"/>
          <w:sz w:val="26"/>
          <w:szCs w:val="26"/>
        </w:rPr>
        <w:t>otorgado</w:t>
      </w:r>
      <w:r w:rsidR="00186512">
        <w:rPr>
          <w:rFonts w:ascii="Arial" w:hAnsi="Arial" w:cs="Arial"/>
          <w:sz w:val="26"/>
          <w:szCs w:val="26"/>
        </w:rPr>
        <w:t xml:space="preserve"> </w:t>
      </w:r>
      <w:r w:rsidR="00E72043">
        <w:rPr>
          <w:rFonts w:ascii="Arial" w:hAnsi="Arial" w:cs="Arial"/>
          <w:sz w:val="26"/>
          <w:szCs w:val="26"/>
        </w:rPr>
        <w:t xml:space="preserve">para tal efecto </w:t>
      </w:r>
      <w:r w:rsidR="00186512">
        <w:rPr>
          <w:rFonts w:ascii="Arial" w:hAnsi="Arial" w:cs="Arial"/>
          <w:sz w:val="26"/>
          <w:szCs w:val="26"/>
        </w:rPr>
        <w:t>a dicha autoridad</w:t>
      </w:r>
      <w:r w:rsidR="00E21850">
        <w:rPr>
          <w:rFonts w:ascii="Arial" w:hAnsi="Arial" w:cs="Arial"/>
          <w:sz w:val="26"/>
          <w:szCs w:val="26"/>
        </w:rPr>
        <w:t xml:space="preserve"> en el acuerdo admisorio (</w:t>
      </w:r>
      <w:r w:rsidR="00E21850" w:rsidRPr="001349C2">
        <w:rPr>
          <w:rFonts w:ascii="Arial" w:hAnsi="Arial" w:cs="Arial"/>
          <w:i/>
          <w:iCs/>
          <w:sz w:val="26"/>
          <w:szCs w:val="26"/>
        </w:rPr>
        <w:t>supra</w:t>
      </w:r>
      <w:r w:rsidR="00E21850">
        <w:rPr>
          <w:rFonts w:ascii="Arial" w:hAnsi="Arial" w:cs="Arial"/>
          <w:sz w:val="26"/>
          <w:szCs w:val="26"/>
        </w:rPr>
        <w:t xml:space="preserve"> párr. 9)</w:t>
      </w:r>
      <w:r w:rsidR="00D3700A">
        <w:rPr>
          <w:rFonts w:ascii="Arial" w:hAnsi="Arial" w:cs="Arial"/>
          <w:sz w:val="26"/>
          <w:szCs w:val="26"/>
        </w:rPr>
        <w:t xml:space="preserve">, </w:t>
      </w:r>
      <w:r w:rsidR="00E368CF">
        <w:rPr>
          <w:rFonts w:ascii="Arial" w:hAnsi="Arial" w:cs="Arial"/>
          <w:sz w:val="26"/>
          <w:szCs w:val="26"/>
        </w:rPr>
        <w:t>el ministro instructor</w:t>
      </w:r>
      <w:r w:rsidR="00D3700A">
        <w:rPr>
          <w:rFonts w:ascii="Arial" w:hAnsi="Arial" w:cs="Arial"/>
          <w:sz w:val="26"/>
          <w:szCs w:val="26"/>
        </w:rPr>
        <w:t xml:space="preserve"> </w:t>
      </w:r>
      <w:r w:rsidR="005D33FA">
        <w:rPr>
          <w:rFonts w:ascii="Arial" w:hAnsi="Arial" w:cs="Arial"/>
          <w:sz w:val="26"/>
          <w:szCs w:val="26"/>
        </w:rPr>
        <w:t>determinó que</w:t>
      </w:r>
      <w:r w:rsidR="00186512">
        <w:rPr>
          <w:rFonts w:ascii="Arial" w:hAnsi="Arial" w:cs="Arial"/>
          <w:sz w:val="26"/>
          <w:szCs w:val="26"/>
        </w:rPr>
        <w:t xml:space="preserve"> </w:t>
      </w:r>
      <w:r w:rsidR="00AF766B">
        <w:rPr>
          <w:rFonts w:ascii="Arial" w:hAnsi="Arial" w:cs="Arial"/>
          <w:sz w:val="26"/>
          <w:szCs w:val="26"/>
        </w:rPr>
        <w:t>l</w:t>
      </w:r>
      <w:r w:rsidR="001C50B5">
        <w:rPr>
          <w:rFonts w:ascii="Arial" w:hAnsi="Arial" w:cs="Arial"/>
          <w:sz w:val="26"/>
          <w:szCs w:val="26"/>
        </w:rPr>
        <w:t>a</w:t>
      </w:r>
      <w:r w:rsidR="00186512">
        <w:rPr>
          <w:rFonts w:ascii="Arial" w:hAnsi="Arial" w:cs="Arial"/>
          <w:sz w:val="26"/>
          <w:szCs w:val="26"/>
        </w:rPr>
        <w:t xml:space="preserve"> promoción</w:t>
      </w:r>
      <w:r w:rsidR="005D33FA">
        <w:rPr>
          <w:rFonts w:ascii="Arial" w:hAnsi="Arial" w:cs="Arial"/>
          <w:sz w:val="26"/>
          <w:szCs w:val="26"/>
        </w:rPr>
        <w:t xml:space="preserve"> era extemporánea</w:t>
      </w:r>
      <w:r w:rsidR="00E368CF" w:rsidRPr="00894B94">
        <w:rPr>
          <w:rStyle w:val="Refdenotaalpie"/>
          <w:rFonts w:ascii="Arial" w:hAnsi="Arial" w:cs="Arial"/>
          <w:sz w:val="26"/>
          <w:szCs w:val="26"/>
        </w:rPr>
        <w:footnoteReference w:id="11"/>
      </w:r>
      <w:r w:rsidR="00D3700A">
        <w:rPr>
          <w:rFonts w:ascii="Arial" w:hAnsi="Arial" w:cs="Arial"/>
          <w:sz w:val="26"/>
          <w:szCs w:val="26"/>
        </w:rPr>
        <w:t>.</w:t>
      </w:r>
    </w:p>
    <w:p w:rsidR="006C6BF1" w:rsidRPr="006C6BF1" w:rsidRDefault="006C6BF1" w:rsidP="006C6BF1">
      <w:pPr>
        <w:pStyle w:val="Prrafodelista"/>
        <w:spacing w:after="360" w:line="360" w:lineRule="auto"/>
        <w:ind w:left="0"/>
        <w:jc w:val="both"/>
        <w:rPr>
          <w:rFonts w:ascii="Arial" w:eastAsia="Times New Roman" w:hAnsi="Arial" w:cs="Arial"/>
          <w:b/>
          <w:sz w:val="26"/>
          <w:szCs w:val="26"/>
          <w:lang w:eastAsia="es-MX"/>
        </w:rPr>
      </w:pPr>
    </w:p>
    <w:p w:rsidR="003520C4" w:rsidRPr="004438C8" w:rsidRDefault="003520C4" w:rsidP="003520C4">
      <w:pPr>
        <w:pStyle w:val="Prrafodelista"/>
        <w:numPr>
          <w:ilvl w:val="0"/>
          <w:numId w:val="1"/>
        </w:numPr>
        <w:spacing w:after="360" w:line="360" w:lineRule="auto"/>
        <w:ind w:left="0" w:hanging="567"/>
        <w:jc w:val="both"/>
        <w:rPr>
          <w:rFonts w:ascii="Arial" w:eastAsia="Times New Roman" w:hAnsi="Arial" w:cs="Arial"/>
          <w:sz w:val="26"/>
          <w:szCs w:val="26"/>
          <w:lang w:eastAsia="es-MX"/>
        </w:rPr>
      </w:pPr>
      <w:r w:rsidRPr="006E23F2">
        <w:rPr>
          <w:rFonts w:ascii="Arial" w:hAnsi="Arial" w:cs="Arial"/>
          <w:b/>
          <w:sz w:val="26"/>
          <w:szCs w:val="26"/>
        </w:rPr>
        <w:t>Alegatos.</w:t>
      </w:r>
      <w:r w:rsidRPr="006E23F2">
        <w:rPr>
          <w:rFonts w:ascii="Arial" w:hAnsi="Arial" w:cs="Arial"/>
          <w:sz w:val="26"/>
          <w:szCs w:val="26"/>
        </w:rPr>
        <w:t xml:space="preserve"> </w:t>
      </w:r>
      <w:r w:rsidRPr="009B79BA">
        <w:rPr>
          <w:rFonts w:ascii="Arial" w:hAnsi="Arial" w:cs="Arial"/>
          <w:sz w:val="26"/>
          <w:szCs w:val="26"/>
        </w:rPr>
        <w:t>El</w:t>
      </w:r>
      <w:r w:rsidR="00E21850">
        <w:rPr>
          <w:rFonts w:ascii="Arial" w:hAnsi="Arial" w:cs="Arial"/>
          <w:sz w:val="26"/>
          <w:szCs w:val="26"/>
        </w:rPr>
        <w:t xml:space="preserve"> veintitrés </w:t>
      </w:r>
      <w:r w:rsidRPr="009B79BA">
        <w:rPr>
          <w:rFonts w:ascii="Arial" w:hAnsi="Arial" w:cs="Arial"/>
          <w:sz w:val="26"/>
          <w:szCs w:val="26"/>
        </w:rPr>
        <w:t xml:space="preserve">de </w:t>
      </w:r>
      <w:r w:rsidR="00E5169D">
        <w:rPr>
          <w:rFonts w:ascii="Arial" w:hAnsi="Arial" w:cs="Arial"/>
          <w:sz w:val="26"/>
          <w:szCs w:val="26"/>
        </w:rPr>
        <w:t xml:space="preserve">septiembre de </w:t>
      </w:r>
      <w:r w:rsidRPr="009B79BA">
        <w:rPr>
          <w:rFonts w:ascii="Arial" w:hAnsi="Arial" w:cs="Arial"/>
          <w:sz w:val="26"/>
          <w:szCs w:val="26"/>
        </w:rPr>
        <w:t xml:space="preserve">dos mil veinte el ministro instructor puso los autos a vista a las partes para que en el plazo de </w:t>
      </w:r>
      <w:r w:rsidR="00E21850">
        <w:rPr>
          <w:rFonts w:ascii="Arial" w:hAnsi="Arial" w:cs="Arial"/>
          <w:sz w:val="26"/>
          <w:szCs w:val="26"/>
        </w:rPr>
        <w:t>dos</w:t>
      </w:r>
      <w:r w:rsidR="00E21850" w:rsidRPr="009B79BA">
        <w:rPr>
          <w:rFonts w:ascii="Arial" w:hAnsi="Arial" w:cs="Arial"/>
          <w:sz w:val="26"/>
          <w:szCs w:val="26"/>
        </w:rPr>
        <w:t xml:space="preserve"> </w:t>
      </w:r>
      <w:r w:rsidRPr="009B79BA">
        <w:rPr>
          <w:rFonts w:ascii="Arial" w:hAnsi="Arial" w:cs="Arial"/>
          <w:sz w:val="26"/>
          <w:szCs w:val="26"/>
        </w:rPr>
        <w:t>días naturales a partir de que les fuera notificado el acuerdo formularan por escrito sus alegatos</w:t>
      </w:r>
      <w:r w:rsidR="00E21850" w:rsidRPr="00894B94">
        <w:rPr>
          <w:rStyle w:val="Refdenotaalpie"/>
          <w:rFonts w:ascii="Arial" w:hAnsi="Arial" w:cs="Arial"/>
          <w:sz w:val="26"/>
          <w:szCs w:val="26"/>
        </w:rPr>
        <w:footnoteReference w:id="12"/>
      </w:r>
      <w:r w:rsidRPr="009B79BA">
        <w:rPr>
          <w:rFonts w:ascii="Arial" w:hAnsi="Arial" w:cs="Arial"/>
          <w:sz w:val="26"/>
          <w:szCs w:val="26"/>
        </w:rPr>
        <w:t>. El</w:t>
      </w:r>
      <w:r w:rsidR="00BE2FD3">
        <w:rPr>
          <w:rFonts w:ascii="Arial" w:hAnsi="Arial" w:cs="Arial"/>
          <w:sz w:val="26"/>
          <w:szCs w:val="26"/>
        </w:rPr>
        <w:t xml:space="preserve"> uno de octubre siguiente</w:t>
      </w:r>
      <w:r w:rsidRPr="009B79BA">
        <w:rPr>
          <w:rFonts w:ascii="Arial" w:hAnsi="Arial" w:cs="Arial"/>
          <w:sz w:val="26"/>
          <w:szCs w:val="26"/>
        </w:rPr>
        <w:t xml:space="preserve"> se recib</w:t>
      </w:r>
      <w:r w:rsidR="00CA165D">
        <w:rPr>
          <w:rFonts w:ascii="Arial" w:hAnsi="Arial" w:cs="Arial"/>
          <w:sz w:val="26"/>
          <w:szCs w:val="26"/>
        </w:rPr>
        <w:t>ieron</w:t>
      </w:r>
      <w:r w:rsidRPr="009B79BA">
        <w:rPr>
          <w:rFonts w:ascii="Arial" w:hAnsi="Arial" w:cs="Arial"/>
          <w:sz w:val="26"/>
          <w:szCs w:val="26"/>
        </w:rPr>
        <w:t xml:space="preserve"> </w:t>
      </w:r>
      <w:r w:rsidR="00CA165D">
        <w:rPr>
          <w:rFonts w:ascii="Arial" w:hAnsi="Arial" w:cs="Arial"/>
          <w:sz w:val="26"/>
          <w:szCs w:val="26"/>
        </w:rPr>
        <w:t>los</w:t>
      </w:r>
      <w:r w:rsidRPr="009B79BA">
        <w:rPr>
          <w:rFonts w:ascii="Arial" w:hAnsi="Arial" w:cs="Arial"/>
          <w:sz w:val="26"/>
          <w:szCs w:val="26"/>
        </w:rPr>
        <w:t xml:space="preserve"> escrito</w:t>
      </w:r>
      <w:r w:rsidR="00CA165D">
        <w:rPr>
          <w:rFonts w:ascii="Arial" w:hAnsi="Arial" w:cs="Arial"/>
          <w:sz w:val="26"/>
          <w:szCs w:val="26"/>
        </w:rPr>
        <w:t>s</w:t>
      </w:r>
      <w:r w:rsidRPr="009B79BA">
        <w:rPr>
          <w:rFonts w:ascii="Arial" w:hAnsi="Arial" w:cs="Arial"/>
          <w:sz w:val="26"/>
          <w:szCs w:val="26"/>
        </w:rPr>
        <w:t xml:space="preserve"> de alegatos presentado</w:t>
      </w:r>
      <w:r w:rsidR="00CA165D">
        <w:rPr>
          <w:rFonts w:ascii="Arial" w:hAnsi="Arial" w:cs="Arial"/>
          <w:sz w:val="26"/>
          <w:szCs w:val="26"/>
        </w:rPr>
        <w:t>s</w:t>
      </w:r>
      <w:r w:rsidRPr="009B79BA">
        <w:rPr>
          <w:rFonts w:ascii="Arial" w:hAnsi="Arial" w:cs="Arial"/>
          <w:sz w:val="26"/>
          <w:szCs w:val="26"/>
        </w:rPr>
        <w:t xml:space="preserve"> por </w:t>
      </w:r>
      <w:r w:rsidR="009B79BA">
        <w:rPr>
          <w:rFonts w:ascii="Arial" w:hAnsi="Arial" w:cs="Arial"/>
          <w:sz w:val="26"/>
          <w:szCs w:val="26"/>
        </w:rPr>
        <w:t>Comisión Nacional de los Derechos Humanos</w:t>
      </w:r>
      <w:r w:rsidR="00CA165D">
        <w:rPr>
          <w:rFonts w:ascii="Arial" w:hAnsi="Arial" w:cs="Arial"/>
          <w:sz w:val="26"/>
          <w:szCs w:val="26"/>
        </w:rPr>
        <w:t xml:space="preserve"> y el Poder Legislativo de Chihuahua</w:t>
      </w:r>
      <w:r w:rsidRPr="00894B94">
        <w:rPr>
          <w:rStyle w:val="Refdenotaalpie"/>
          <w:rFonts w:ascii="Arial" w:hAnsi="Arial" w:cs="Arial"/>
          <w:sz w:val="26"/>
          <w:szCs w:val="26"/>
        </w:rPr>
        <w:footnoteReference w:id="13"/>
      </w:r>
      <w:r w:rsidRPr="004438C8">
        <w:rPr>
          <w:rFonts w:ascii="Arial" w:hAnsi="Arial" w:cs="Arial"/>
          <w:sz w:val="26"/>
          <w:szCs w:val="26"/>
        </w:rPr>
        <w:t>.</w:t>
      </w:r>
    </w:p>
    <w:p w:rsidR="003520C4" w:rsidRPr="004438C8" w:rsidRDefault="003520C4" w:rsidP="003520C4">
      <w:pPr>
        <w:pStyle w:val="Prrafodelista"/>
        <w:spacing w:after="360" w:line="360" w:lineRule="auto"/>
        <w:ind w:left="0"/>
        <w:jc w:val="both"/>
        <w:rPr>
          <w:rFonts w:ascii="Arial" w:eastAsia="Times New Roman" w:hAnsi="Arial" w:cs="Arial"/>
          <w:sz w:val="26"/>
          <w:szCs w:val="26"/>
          <w:lang w:eastAsia="es-MX"/>
        </w:rPr>
      </w:pPr>
    </w:p>
    <w:p w:rsidR="003520C4" w:rsidRPr="00900069" w:rsidRDefault="003520C4" w:rsidP="003520C4">
      <w:pPr>
        <w:pStyle w:val="Prrafodelista"/>
        <w:numPr>
          <w:ilvl w:val="0"/>
          <w:numId w:val="1"/>
        </w:numPr>
        <w:spacing w:after="360" w:line="360" w:lineRule="auto"/>
        <w:ind w:left="0" w:hanging="567"/>
        <w:jc w:val="both"/>
        <w:rPr>
          <w:rFonts w:ascii="Arial" w:eastAsia="Times New Roman" w:hAnsi="Arial" w:cs="Arial"/>
          <w:sz w:val="26"/>
          <w:szCs w:val="26"/>
          <w:lang w:eastAsia="es-MX"/>
        </w:rPr>
      </w:pPr>
      <w:r>
        <w:rPr>
          <w:rFonts w:ascii="Arial" w:hAnsi="Arial" w:cs="Arial"/>
          <w:b/>
          <w:sz w:val="26"/>
          <w:szCs w:val="26"/>
        </w:rPr>
        <w:t>Manifestaciones</w:t>
      </w:r>
      <w:r w:rsidRPr="00AB173D">
        <w:rPr>
          <w:rFonts w:ascii="Arial" w:hAnsi="Arial" w:cs="Arial"/>
          <w:b/>
          <w:sz w:val="26"/>
          <w:szCs w:val="26"/>
        </w:rPr>
        <w:t xml:space="preserve"> del </w:t>
      </w:r>
      <w:r>
        <w:rPr>
          <w:rFonts w:ascii="Arial" w:hAnsi="Arial" w:cs="Arial"/>
          <w:b/>
          <w:sz w:val="26"/>
          <w:szCs w:val="26"/>
        </w:rPr>
        <w:t>Fiscal</w:t>
      </w:r>
      <w:r w:rsidRPr="00AB173D">
        <w:rPr>
          <w:rFonts w:ascii="Arial" w:hAnsi="Arial" w:cs="Arial"/>
          <w:b/>
          <w:sz w:val="26"/>
          <w:szCs w:val="26"/>
        </w:rPr>
        <w:t xml:space="preserve"> General de la República</w:t>
      </w:r>
      <w:r>
        <w:rPr>
          <w:rFonts w:ascii="Arial" w:hAnsi="Arial" w:cs="Arial"/>
          <w:b/>
          <w:sz w:val="26"/>
          <w:szCs w:val="26"/>
        </w:rPr>
        <w:t xml:space="preserve"> y la Consejería Jurídica del Ejecutivo Federal</w:t>
      </w:r>
      <w:r w:rsidRPr="00AB173D">
        <w:rPr>
          <w:rFonts w:ascii="Arial" w:hAnsi="Arial" w:cs="Arial"/>
          <w:b/>
          <w:sz w:val="26"/>
          <w:szCs w:val="26"/>
        </w:rPr>
        <w:t>.</w:t>
      </w:r>
      <w:r w:rsidRPr="001349C2">
        <w:rPr>
          <w:rFonts w:ascii="Arial" w:hAnsi="Arial" w:cs="Arial"/>
          <w:sz w:val="26"/>
          <w:szCs w:val="26"/>
        </w:rPr>
        <w:t xml:space="preserve"> En el presente asunto no realizaron manifestación alguna.</w:t>
      </w:r>
    </w:p>
    <w:p w:rsidR="003520C4" w:rsidRPr="006E23F2" w:rsidRDefault="003520C4" w:rsidP="003520C4">
      <w:pPr>
        <w:pStyle w:val="Prrafodelista"/>
        <w:rPr>
          <w:b/>
          <w:sz w:val="26"/>
          <w:szCs w:val="26"/>
        </w:rPr>
      </w:pPr>
    </w:p>
    <w:p w:rsidR="003520C4" w:rsidRPr="006E23F2" w:rsidRDefault="003520C4" w:rsidP="003520C4">
      <w:pPr>
        <w:pStyle w:val="Prrafodelista"/>
        <w:numPr>
          <w:ilvl w:val="0"/>
          <w:numId w:val="1"/>
        </w:numPr>
        <w:spacing w:after="360" w:line="360" w:lineRule="auto"/>
        <w:ind w:left="0" w:hanging="567"/>
        <w:jc w:val="both"/>
        <w:rPr>
          <w:rFonts w:ascii="Arial" w:hAnsi="Arial" w:cs="Arial"/>
          <w:sz w:val="26"/>
          <w:szCs w:val="26"/>
          <w:lang w:val="es-ES_tradnl"/>
        </w:rPr>
      </w:pPr>
      <w:r w:rsidRPr="006E23F2">
        <w:rPr>
          <w:rFonts w:ascii="Arial" w:hAnsi="Arial" w:cs="Arial"/>
          <w:b/>
          <w:sz w:val="26"/>
          <w:szCs w:val="26"/>
        </w:rPr>
        <w:lastRenderedPageBreak/>
        <w:t>Cierre de instrucción.</w:t>
      </w:r>
      <w:r w:rsidRPr="006E23F2">
        <w:rPr>
          <w:rFonts w:ascii="Arial" w:hAnsi="Arial" w:cs="Arial"/>
          <w:sz w:val="26"/>
          <w:szCs w:val="26"/>
        </w:rPr>
        <w:t xml:space="preserve"> El </w:t>
      </w:r>
      <w:r w:rsidR="00A14F89">
        <w:rPr>
          <w:rFonts w:ascii="Arial" w:hAnsi="Arial" w:cs="Arial"/>
          <w:sz w:val="26"/>
          <w:szCs w:val="26"/>
        </w:rPr>
        <w:t xml:space="preserve">siete </w:t>
      </w:r>
      <w:r w:rsidR="00CA165D">
        <w:rPr>
          <w:rFonts w:ascii="Arial" w:hAnsi="Arial" w:cs="Arial"/>
          <w:sz w:val="26"/>
          <w:szCs w:val="26"/>
        </w:rPr>
        <w:t xml:space="preserve">de octubre </w:t>
      </w:r>
      <w:r>
        <w:rPr>
          <w:rFonts w:ascii="Arial" w:hAnsi="Arial" w:cs="Arial"/>
          <w:sz w:val="26"/>
          <w:szCs w:val="26"/>
        </w:rPr>
        <w:t>d</w:t>
      </w:r>
      <w:r w:rsidRPr="008D6E68">
        <w:rPr>
          <w:rFonts w:ascii="Arial" w:hAnsi="Arial" w:cs="Arial"/>
          <w:sz w:val="26"/>
          <w:szCs w:val="26"/>
        </w:rPr>
        <w:t xml:space="preserve">e dos mil </w:t>
      </w:r>
      <w:r>
        <w:rPr>
          <w:rFonts w:ascii="Arial" w:hAnsi="Arial" w:cs="Arial"/>
          <w:sz w:val="26"/>
          <w:szCs w:val="26"/>
        </w:rPr>
        <w:t>veinte el m</w:t>
      </w:r>
      <w:r w:rsidRPr="006E23F2">
        <w:rPr>
          <w:rFonts w:ascii="Arial" w:hAnsi="Arial" w:cs="Arial"/>
          <w:sz w:val="26"/>
          <w:szCs w:val="26"/>
        </w:rPr>
        <w:t>inistro instructor</w:t>
      </w:r>
      <w:r>
        <w:rPr>
          <w:rFonts w:ascii="Arial" w:hAnsi="Arial" w:cs="Arial"/>
          <w:sz w:val="26"/>
          <w:szCs w:val="26"/>
        </w:rPr>
        <w:t xml:space="preserve"> consideró que el expediente estaba debidamente integrado y</w:t>
      </w:r>
      <w:r w:rsidRPr="006E23F2">
        <w:rPr>
          <w:rFonts w:ascii="Arial" w:hAnsi="Arial" w:cs="Arial"/>
          <w:sz w:val="26"/>
          <w:szCs w:val="26"/>
        </w:rPr>
        <w:t xml:space="preserve"> </w:t>
      </w:r>
      <w:r w:rsidRPr="006E23F2">
        <w:rPr>
          <w:rFonts w:ascii="Arial" w:hAnsi="Arial" w:cs="Arial"/>
          <w:sz w:val="26"/>
          <w:szCs w:val="26"/>
          <w:lang w:val="es-ES_tradnl"/>
        </w:rPr>
        <w:t xml:space="preserve">cerró la instrucción </w:t>
      </w:r>
      <w:r>
        <w:rPr>
          <w:rFonts w:ascii="Arial" w:hAnsi="Arial" w:cs="Arial"/>
          <w:sz w:val="26"/>
          <w:szCs w:val="26"/>
          <w:lang w:val="es-ES_tradnl"/>
        </w:rPr>
        <w:t>par</w:t>
      </w:r>
      <w:r w:rsidRPr="006E23F2">
        <w:rPr>
          <w:rFonts w:ascii="Arial" w:hAnsi="Arial" w:cs="Arial"/>
          <w:sz w:val="26"/>
          <w:szCs w:val="26"/>
          <w:lang w:val="es-ES_tradnl"/>
        </w:rPr>
        <w:t>a</w:t>
      </w:r>
      <w:r>
        <w:rPr>
          <w:rFonts w:ascii="Arial" w:hAnsi="Arial" w:cs="Arial"/>
          <w:sz w:val="26"/>
          <w:szCs w:val="26"/>
          <w:lang w:val="es-ES_tradnl"/>
        </w:rPr>
        <w:t xml:space="preserve"> el</w:t>
      </w:r>
      <w:r w:rsidRPr="006E23F2">
        <w:rPr>
          <w:rFonts w:ascii="Arial" w:hAnsi="Arial" w:cs="Arial"/>
          <w:sz w:val="26"/>
          <w:szCs w:val="26"/>
          <w:lang w:val="es-ES_tradnl"/>
        </w:rPr>
        <w:t xml:space="preserve"> efecto de</w:t>
      </w:r>
      <w:r>
        <w:rPr>
          <w:rFonts w:ascii="Arial" w:hAnsi="Arial" w:cs="Arial"/>
          <w:sz w:val="26"/>
          <w:szCs w:val="26"/>
          <w:lang w:val="es-ES_tradnl"/>
        </w:rPr>
        <w:t xml:space="preserve"> que se</w:t>
      </w:r>
      <w:r w:rsidRPr="006E23F2">
        <w:rPr>
          <w:rFonts w:ascii="Arial" w:hAnsi="Arial" w:cs="Arial"/>
          <w:sz w:val="26"/>
          <w:szCs w:val="26"/>
          <w:lang w:val="es-ES_tradnl"/>
        </w:rPr>
        <w:t xml:space="preserve"> elaborar</w:t>
      </w:r>
      <w:r>
        <w:rPr>
          <w:rFonts w:ascii="Arial" w:hAnsi="Arial" w:cs="Arial"/>
          <w:sz w:val="26"/>
          <w:szCs w:val="26"/>
          <w:lang w:val="es-ES_tradnl"/>
        </w:rPr>
        <w:t>a</w:t>
      </w:r>
      <w:r w:rsidRPr="006E23F2">
        <w:rPr>
          <w:rFonts w:ascii="Arial" w:hAnsi="Arial" w:cs="Arial"/>
          <w:sz w:val="26"/>
          <w:szCs w:val="26"/>
          <w:lang w:val="es-ES_tradnl"/>
        </w:rPr>
        <w:t xml:space="preserve"> el proyecto de resolución correspondiente</w:t>
      </w:r>
      <w:r w:rsidRPr="00894B94">
        <w:rPr>
          <w:rStyle w:val="Refdenotaalpie"/>
          <w:rFonts w:ascii="Arial" w:hAnsi="Arial" w:cs="Arial"/>
          <w:sz w:val="26"/>
          <w:szCs w:val="26"/>
          <w:lang w:val="es-ES_tradnl"/>
        </w:rPr>
        <w:footnoteReference w:id="14"/>
      </w:r>
      <w:r w:rsidRPr="004438C8">
        <w:rPr>
          <w:rFonts w:ascii="Arial" w:hAnsi="Arial" w:cs="Arial"/>
          <w:sz w:val="26"/>
          <w:szCs w:val="26"/>
          <w:lang w:val="es-ES_tradnl"/>
        </w:rPr>
        <w:t>.</w:t>
      </w:r>
    </w:p>
    <w:p w:rsidR="003520C4" w:rsidRPr="006E23F2" w:rsidRDefault="003520C4" w:rsidP="003520C4">
      <w:pPr>
        <w:pStyle w:val="corte4fondo"/>
        <w:spacing w:after="360" w:line="360" w:lineRule="auto"/>
        <w:ind w:firstLine="0"/>
        <w:jc w:val="center"/>
        <w:rPr>
          <w:rFonts w:cs="Arial"/>
          <w:b/>
          <w:sz w:val="26"/>
          <w:szCs w:val="26"/>
        </w:rPr>
      </w:pPr>
      <w:r w:rsidRPr="006E23F2">
        <w:rPr>
          <w:rFonts w:cs="Arial"/>
          <w:b/>
          <w:sz w:val="26"/>
          <w:szCs w:val="26"/>
          <w:lang w:val="es-MX"/>
        </w:rPr>
        <w:t xml:space="preserve">II. </w:t>
      </w:r>
      <w:r>
        <w:rPr>
          <w:rFonts w:cs="Arial"/>
          <w:b/>
          <w:sz w:val="26"/>
          <w:szCs w:val="26"/>
        </w:rPr>
        <w:t>REQUISITOS PROCESALES</w:t>
      </w:r>
    </w:p>
    <w:p w:rsidR="003520C4" w:rsidRPr="004239E6" w:rsidRDefault="003520C4" w:rsidP="003520C4">
      <w:pPr>
        <w:pStyle w:val="Prrafodelista"/>
        <w:numPr>
          <w:ilvl w:val="0"/>
          <w:numId w:val="1"/>
        </w:numPr>
        <w:tabs>
          <w:tab w:val="clear" w:pos="-3"/>
          <w:tab w:val="left" w:pos="0"/>
        </w:tabs>
        <w:spacing w:after="360" w:line="360" w:lineRule="auto"/>
        <w:ind w:left="0" w:hanging="567"/>
        <w:jc w:val="both"/>
        <w:rPr>
          <w:rFonts w:ascii="Arial" w:hAnsi="Arial" w:cs="Arial"/>
          <w:sz w:val="26"/>
          <w:szCs w:val="26"/>
        </w:rPr>
      </w:pPr>
      <w:r w:rsidRPr="004438C8">
        <w:rPr>
          <w:rFonts w:ascii="Arial" w:hAnsi="Arial" w:cs="Arial"/>
          <w:b/>
          <w:sz w:val="26"/>
          <w:szCs w:val="26"/>
        </w:rPr>
        <w:t>Competencia.</w:t>
      </w:r>
      <w:r>
        <w:rPr>
          <w:rFonts w:ascii="Arial" w:hAnsi="Arial" w:cs="Arial"/>
          <w:sz w:val="26"/>
          <w:szCs w:val="26"/>
        </w:rPr>
        <w:t xml:space="preserve"> </w:t>
      </w:r>
      <w:r w:rsidRPr="006E23F2">
        <w:rPr>
          <w:rFonts w:ascii="Arial" w:hAnsi="Arial" w:cs="Arial"/>
          <w:sz w:val="26"/>
          <w:szCs w:val="26"/>
        </w:rPr>
        <w:t>El Tribunal Pleno de la Suprema Corte de Justicia de la Nación</w:t>
      </w:r>
      <w:r>
        <w:rPr>
          <w:rFonts w:ascii="Arial" w:hAnsi="Arial" w:cs="Arial"/>
          <w:sz w:val="26"/>
          <w:szCs w:val="26"/>
        </w:rPr>
        <w:t xml:space="preserve"> es competente para resolver la presente acción </w:t>
      </w:r>
      <w:r w:rsidR="00C66350">
        <w:rPr>
          <w:rFonts w:ascii="Arial" w:hAnsi="Arial" w:cs="Arial"/>
          <w:sz w:val="26"/>
          <w:szCs w:val="26"/>
        </w:rPr>
        <w:t>de inconstitucionalidad</w:t>
      </w:r>
      <w:r w:rsidRPr="006E23F2">
        <w:rPr>
          <w:rFonts w:ascii="Arial" w:hAnsi="Arial" w:cs="Arial"/>
          <w:sz w:val="26"/>
          <w:szCs w:val="26"/>
        </w:rPr>
        <w:t xml:space="preserve"> </w:t>
      </w:r>
      <w:r w:rsidR="00C66350">
        <w:rPr>
          <w:rFonts w:ascii="Arial" w:hAnsi="Arial" w:cs="Arial"/>
          <w:sz w:val="26"/>
          <w:szCs w:val="26"/>
        </w:rPr>
        <w:t>en términos de lo dispuesto en</w:t>
      </w:r>
      <w:r w:rsidRPr="006E23F2">
        <w:rPr>
          <w:rFonts w:ascii="Arial" w:hAnsi="Arial" w:cs="Arial"/>
          <w:sz w:val="26"/>
          <w:szCs w:val="26"/>
        </w:rPr>
        <w:t xml:space="preserve"> los artículos 105, fracción </w:t>
      </w:r>
      <w:r w:rsidRPr="005D5579">
        <w:rPr>
          <w:rFonts w:ascii="Arial" w:hAnsi="Arial" w:cs="Arial"/>
          <w:sz w:val="26"/>
          <w:szCs w:val="26"/>
        </w:rPr>
        <w:t xml:space="preserve">II, inciso </w:t>
      </w:r>
      <w:r w:rsidR="004651C0">
        <w:rPr>
          <w:rFonts w:ascii="Arial" w:hAnsi="Arial" w:cs="Arial"/>
          <w:sz w:val="26"/>
          <w:szCs w:val="26"/>
        </w:rPr>
        <w:t>g</w:t>
      </w:r>
      <w:r w:rsidRPr="00734770">
        <w:rPr>
          <w:rFonts w:ascii="Arial" w:hAnsi="Arial" w:cs="Arial"/>
          <w:sz w:val="26"/>
          <w:szCs w:val="26"/>
        </w:rPr>
        <w:t>),</w:t>
      </w:r>
      <w:r>
        <w:rPr>
          <w:rFonts w:ascii="Arial" w:hAnsi="Arial" w:cs="Arial"/>
          <w:sz w:val="26"/>
          <w:szCs w:val="26"/>
        </w:rPr>
        <w:t xml:space="preserve"> </w:t>
      </w:r>
      <w:r w:rsidRPr="006E23F2">
        <w:rPr>
          <w:rFonts w:ascii="Arial" w:hAnsi="Arial" w:cs="Arial"/>
          <w:sz w:val="26"/>
          <w:szCs w:val="26"/>
        </w:rPr>
        <w:t>de la</w:t>
      </w:r>
      <w:r>
        <w:rPr>
          <w:rFonts w:ascii="Arial" w:hAnsi="Arial" w:cs="Arial"/>
          <w:sz w:val="26"/>
          <w:szCs w:val="26"/>
        </w:rPr>
        <w:t xml:space="preserve"> </w:t>
      </w:r>
      <w:r w:rsidRPr="006E23F2">
        <w:rPr>
          <w:rFonts w:ascii="Arial" w:hAnsi="Arial" w:cs="Arial"/>
          <w:sz w:val="26"/>
          <w:szCs w:val="26"/>
        </w:rPr>
        <w:t xml:space="preserve">Constitución </w:t>
      </w:r>
      <w:r w:rsidR="00BE2FD3">
        <w:rPr>
          <w:rFonts w:ascii="Arial" w:hAnsi="Arial" w:cs="Arial"/>
          <w:sz w:val="26"/>
          <w:szCs w:val="26"/>
        </w:rPr>
        <w:t>Federal</w:t>
      </w:r>
      <w:r w:rsidRPr="00894B94">
        <w:rPr>
          <w:rStyle w:val="Refdenotaalpie"/>
          <w:rFonts w:ascii="Arial" w:hAnsi="Arial" w:cs="Arial"/>
          <w:sz w:val="26"/>
          <w:szCs w:val="26"/>
        </w:rPr>
        <w:footnoteReference w:id="15"/>
      </w:r>
      <w:r w:rsidRPr="006E23F2">
        <w:rPr>
          <w:rFonts w:ascii="Arial" w:hAnsi="Arial" w:cs="Arial"/>
          <w:sz w:val="26"/>
          <w:szCs w:val="26"/>
        </w:rPr>
        <w:t xml:space="preserve">; 1° de la Ley Reglamentaria de las Fracciones I y II del Artículo 105 de la Constitución Política de los Estados Unidos Mexicanos (en </w:t>
      </w:r>
      <w:r>
        <w:rPr>
          <w:rFonts w:ascii="Arial" w:hAnsi="Arial" w:cs="Arial"/>
          <w:sz w:val="26"/>
          <w:szCs w:val="26"/>
        </w:rPr>
        <w:t>lo sucesivo</w:t>
      </w:r>
      <w:r w:rsidRPr="006E23F2">
        <w:rPr>
          <w:rFonts w:ascii="Arial" w:hAnsi="Arial" w:cs="Arial"/>
          <w:sz w:val="26"/>
          <w:szCs w:val="26"/>
        </w:rPr>
        <w:t xml:space="preserve"> </w:t>
      </w:r>
      <w:r>
        <w:rPr>
          <w:rFonts w:ascii="Arial" w:hAnsi="Arial" w:cs="Arial"/>
          <w:sz w:val="26"/>
          <w:szCs w:val="26"/>
        </w:rPr>
        <w:t>“</w:t>
      </w:r>
      <w:r w:rsidRPr="006E23F2">
        <w:rPr>
          <w:rFonts w:ascii="Arial" w:hAnsi="Arial" w:cs="Arial"/>
          <w:sz w:val="26"/>
          <w:szCs w:val="26"/>
        </w:rPr>
        <w:t>Ley Reglamentaria</w:t>
      </w:r>
      <w:r>
        <w:rPr>
          <w:rFonts w:ascii="Arial" w:hAnsi="Arial" w:cs="Arial"/>
          <w:sz w:val="26"/>
          <w:szCs w:val="26"/>
        </w:rPr>
        <w:t>”</w:t>
      </w:r>
      <w:r w:rsidRPr="006E23F2">
        <w:rPr>
          <w:rFonts w:ascii="Arial" w:hAnsi="Arial" w:cs="Arial"/>
          <w:sz w:val="26"/>
          <w:szCs w:val="26"/>
        </w:rPr>
        <w:t>)</w:t>
      </w:r>
      <w:r w:rsidRPr="00894B94">
        <w:rPr>
          <w:rStyle w:val="Refdenotaalpie"/>
          <w:rFonts w:ascii="Arial" w:hAnsi="Arial" w:cs="Arial"/>
          <w:sz w:val="26"/>
          <w:szCs w:val="26"/>
        </w:rPr>
        <w:footnoteReference w:id="16"/>
      </w:r>
      <w:r w:rsidRPr="006E23F2">
        <w:rPr>
          <w:rFonts w:ascii="Arial" w:hAnsi="Arial" w:cs="Arial"/>
          <w:sz w:val="26"/>
          <w:szCs w:val="26"/>
        </w:rPr>
        <w:t>, y 10, fracción I, de la Ley Orgánica del Poder Judicial de la Federación</w:t>
      </w:r>
      <w:r w:rsidRPr="00894B94">
        <w:rPr>
          <w:rStyle w:val="Refdenotaalpie"/>
          <w:rFonts w:ascii="Arial" w:hAnsi="Arial" w:cs="Arial"/>
          <w:sz w:val="26"/>
          <w:szCs w:val="26"/>
        </w:rPr>
        <w:footnoteReference w:id="17"/>
      </w:r>
      <w:r w:rsidRPr="006E23F2">
        <w:rPr>
          <w:rFonts w:ascii="Arial" w:hAnsi="Arial" w:cs="Arial"/>
          <w:sz w:val="26"/>
          <w:szCs w:val="26"/>
        </w:rPr>
        <w:t>, toda vez que l</w:t>
      </w:r>
      <w:r w:rsidR="00C66350">
        <w:rPr>
          <w:rFonts w:ascii="Arial" w:hAnsi="Arial" w:cs="Arial"/>
          <w:sz w:val="26"/>
          <w:szCs w:val="26"/>
        </w:rPr>
        <w:t>a</w:t>
      </w:r>
      <w:r w:rsidRPr="006E23F2">
        <w:rPr>
          <w:rFonts w:ascii="Arial" w:hAnsi="Arial" w:cs="Arial"/>
          <w:sz w:val="26"/>
          <w:szCs w:val="26"/>
        </w:rPr>
        <w:t xml:space="preserve"> promovente</w:t>
      </w:r>
      <w:r w:rsidR="00C66350">
        <w:rPr>
          <w:rFonts w:ascii="Arial" w:hAnsi="Arial" w:cs="Arial"/>
          <w:sz w:val="26"/>
          <w:szCs w:val="26"/>
        </w:rPr>
        <w:t xml:space="preserve"> plantea</w:t>
      </w:r>
      <w:r w:rsidRPr="006E23F2">
        <w:rPr>
          <w:rFonts w:ascii="Arial" w:hAnsi="Arial" w:cs="Arial"/>
          <w:sz w:val="26"/>
          <w:szCs w:val="26"/>
        </w:rPr>
        <w:t xml:space="preserve"> la posible contradicción entre </w:t>
      </w:r>
      <w:r w:rsidR="000D1237">
        <w:rPr>
          <w:rFonts w:ascii="Arial" w:hAnsi="Arial" w:cs="Arial"/>
          <w:sz w:val="26"/>
          <w:szCs w:val="26"/>
        </w:rPr>
        <w:t>diversas</w:t>
      </w:r>
      <w:r>
        <w:rPr>
          <w:rFonts w:ascii="Arial" w:hAnsi="Arial" w:cs="Arial"/>
          <w:sz w:val="26"/>
          <w:szCs w:val="26"/>
        </w:rPr>
        <w:t xml:space="preserve"> disposici</w:t>
      </w:r>
      <w:r w:rsidR="000D1237">
        <w:rPr>
          <w:rFonts w:ascii="Arial" w:hAnsi="Arial" w:cs="Arial"/>
          <w:sz w:val="26"/>
          <w:szCs w:val="26"/>
        </w:rPr>
        <w:t xml:space="preserve">ones </w:t>
      </w:r>
      <w:r>
        <w:rPr>
          <w:rFonts w:ascii="Arial" w:hAnsi="Arial" w:cs="Arial"/>
          <w:sz w:val="26"/>
          <w:szCs w:val="26"/>
        </w:rPr>
        <w:t xml:space="preserve">de carácter general de una entidad federativa </w:t>
      </w:r>
      <w:r w:rsidRPr="006E23F2">
        <w:rPr>
          <w:rFonts w:ascii="Arial" w:hAnsi="Arial" w:cs="Arial"/>
          <w:sz w:val="26"/>
          <w:szCs w:val="26"/>
        </w:rPr>
        <w:t>y</w:t>
      </w:r>
      <w:r w:rsidR="00786542">
        <w:rPr>
          <w:rFonts w:ascii="Arial" w:hAnsi="Arial" w:cs="Arial"/>
          <w:sz w:val="26"/>
          <w:szCs w:val="26"/>
        </w:rPr>
        <w:t xml:space="preserve"> la Constitución Federal,</w:t>
      </w:r>
      <w:r w:rsidRPr="006E23F2">
        <w:rPr>
          <w:rFonts w:ascii="Arial" w:hAnsi="Arial" w:cs="Arial"/>
          <w:sz w:val="26"/>
          <w:szCs w:val="26"/>
        </w:rPr>
        <w:t xml:space="preserve"> </w:t>
      </w:r>
      <w:r w:rsidR="000D1237">
        <w:rPr>
          <w:rFonts w:ascii="Arial" w:hAnsi="Arial" w:cs="Arial"/>
          <w:sz w:val="26"/>
          <w:szCs w:val="26"/>
        </w:rPr>
        <w:t xml:space="preserve">el </w:t>
      </w:r>
      <w:r w:rsidR="000D1237" w:rsidRPr="00474F52">
        <w:rPr>
          <w:rFonts w:ascii="Arial" w:hAnsi="Arial" w:cs="Arial"/>
          <w:sz w:val="26"/>
          <w:szCs w:val="26"/>
        </w:rPr>
        <w:t>Convenio</w:t>
      </w:r>
      <w:r w:rsidR="000D1237">
        <w:rPr>
          <w:rFonts w:ascii="Arial" w:hAnsi="Arial" w:cs="Arial"/>
          <w:sz w:val="26"/>
          <w:szCs w:val="26"/>
        </w:rPr>
        <w:t xml:space="preserve"> 169 de la O</w:t>
      </w:r>
      <w:r w:rsidR="00177D08">
        <w:rPr>
          <w:rFonts w:ascii="Arial" w:hAnsi="Arial" w:cs="Arial"/>
          <w:sz w:val="26"/>
          <w:szCs w:val="26"/>
        </w:rPr>
        <w:t>IT</w:t>
      </w:r>
      <w:r w:rsidR="00D07AE7">
        <w:rPr>
          <w:rFonts w:ascii="Arial" w:hAnsi="Arial" w:cs="Arial"/>
          <w:sz w:val="26"/>
          <w:szCs w:val="26"/>
        </w:rPr>
        <w:t xml:space="preserve"> y</w:t>
      </w:r>
      <w:r w:rsidR="00474F52">
        <w:rPr>
          <w:rFonts w:ascii="Arial" w:hAnsi="Arial" w:cs="Arial"/>
          <w:sz w:val="26"/>
          <w:szCs w:val="26"/>
        </w:rPr>
        <w:t xml:space="preserve"> la Convención</w:t>
      </w:r>
      <w:r w:rsidR="00B36823">
        <w:rPr>
          <w:rFonts w:ascii="Arial" w:hAnsi="Arial" w:cs="Arial"/>
          <w:sz w:val="26"/>
          <w:szCs w:val="26"/>
        </w:rPr>
        <w:t xml:space="preserve"> sobre los Derechos de las Personas con Discapacidad</w:t>
      </w:r>
      <w:r w:rsidRPr="006E23F2">
        <w:rPr>
          <w:rFonts w:ascii="Arial" w:hAnsi="Arial" w:cs="Arial"/>
          <w:sz w:val="26"/>
          <w:szCs w:val="26"/>
        </w:rPr>
        <w:t>.</w:t>
      </w:r>
    </w:p>
    <w:p w:rsidR="00A575AF" w:rsidRPr="00254514" w:rsidRDefault="003520C4" w:rsidP="00AE324F">
      <w:pPr>
        <w:pStyle w:val="corte4fondo"/>
        <w:numPr>
          <w:ilvl w:val="0"/>
          <w:numId w:val="1"/>
        </w:numPr>
        <w:tabs>
          <w:tab w:val="clear" w:pos="-3"/>
          <w:tab w:val="left" w:pos="0"/>
        </w:tabs>
        <w:spacing w:after="360" w:line="360" w:lineRule="auto"/>
        <w:ind w:left="0" w:firstLine="0"/>
        <w:rPr>
          <w:rFonts w:cs="Arial"/>
          <w:sz w:val="26"/>
          <w:szCs w:val="26"/>
        </w:rPr>
      </w:pPr>
      <w:r>
        <w:rPr>
          <w:rFonts w:cs="Arial"/>
          <w:b/>
          <w:sz w:val="26"/>
          <w:szCs w:val="26"/>
        </w:rPr>
        <w:lastRenderedPageBreak/>
        <w:t xml:space="preserve">Oportunidad. </w:t>
      </w:r>
      <w:r>
        <w:rPr>
          <w:rFonts w:cs="Arial"/>
          <w:sz w:val="26"/>
          <w:szCs w:val="26"/>
        </w:rPr>
        <w:t>De acuerdo con el</w:t>
      </w:r>
      <w:r w:rsidRPr="006E23F2">
        <w:rPr>
          <w:rFonts w:cs="Arial"/>
          <w:sz w:val="26"/>
          <w:szCs w:val="26"/>
        </w:rPr>
        <w:t xml:space="preserve"> artículo 60 de la Ley Reglamentaria</w:t>
      </w:r>
      <w:r w:rsidRPr="00894B94">
        <w:rPr>
          <w:rStyle w:val="Refdenotaalpie"/>
          <w:rFonts w:cs="Arial"/>
          <w:sz w:val="26"/>
          <w:szCs w:val="26"/>
        </w:rPr>
        <w:footnoteReference w:id="18"/>
      </w:r>
      <w:r w:rsidRPr="006E23F2">
        <w:rPr>
          <w:rFonts w:cs="Arial"/>
          <w:sz w:val="26"/>
          <w:szCs w:val="26"/>
        </w:rPr>
        <w:t xml:space="preserve"> el plazo para ejercer </w:t>
      </w:r>
      <w:r>
        <w:rPr>
          <w:rFonts w:cs="Arial"/>
          <w:sz w:val="26"/>
          <w:szCs w:val="26"/>
        </w:rPr>
        <w:t>una</w:t>
      </w:r>
      <w:r w:rsidRPr="006E23F2">
        <w:rPr>
          <w:rFonts w:cs="Arial"/>
          <w:sz w:val="26"/>
          <w:szCs w:val="26"/>
        </w:rPr>
        <w:t xml:space="preserve"> acción de inconstitucionalidad es de treinta días naturales, contados a partir de la fecha en que la norma general impugnada </w:t>
      </w:r>
      <w:r w:rsidR="004A441C">
        <w:rPr>
          <w:rFonts w:cs="Arial"/>
          <w:sz w:val="26"/>
          <w:szCs w:val="26"/>
        </w:rPr>
        <w:t>sea</w:t>
      </w:r>
      <w:r w:rsidRPr="006E23F2">
        <w:rPr>
          <w:rFonts w:cs="Arial"/>
          <w:sz w:val="26"/>
          <w:szCs w:val="26"/>
        </w:rPr>
        <w:t xml:space="preserve"> publicada en el medio oficial correspondiente</w:t>
      </w:r>
      <w:r w:rsidR="009F51E5">
        <w:rPr>
          <w:rFonts w:cs="Arial"/>
          <w:sz w:val="26"/>
          <w:szCs w:val="26"/>
        </w:rPr>
        <w:t>,</w:t>
      </w:r>
      <w:r w:rsidR="00D20069">
        <w:rPr>
          <w:rFonts w:cs="Arial"/>
          <w:sz w:val="26"/>
          <w:szCs w:val="26"/>
        </w:rPr>
        <w:t xml:space="preserve"> </w:t>
      </w:r>
      <w:r w:rsidR="009F51E5">
        <w:rPr>
          <w:rFonts w:cs="Arial"/>
          <w:sz w:val="26"/>
          <w:szCs w:val="26"/>
        </w:rPr>
        <w:t>p</w:t>
      </w:r>
      <w:r w:rsidR="00D20069">
        <w:rPr>
          <w:rFonts w:cs="Arial"/>
          <w:sz w:val="26"/>
          <w:szCs w:val="26"/>
        </w:rPr>
        <w:t xml:space="preserve">ero si el último día del plazo fuese inhábil, la demanda podrá presentarse el </w:t>
      </w:r>
      <w:r w:rsidR="007144F2">
        <w:rPr>
          <w:rFonts w:cs="Arial"/>
          <w:sz w:val="26"/>
          <w:szCs w:val="26"/>
        </w:rPr>
        <w:t>primer</w:t>
      </w:r>
      <w:r w:rsidR="00D20069">
        <w:rPr>
          <w:rFonts w:cs="Arial"/>
          <w:sz w:val="26"/>
          <w:szCs w:val="26"/>
        </w:rPr>
        <w:t xml:space="preserve"> día hábil siguiente</w:t>
      </w:r>
      <w:r>
        <w:rPr>
          <w:rFonts w:cs="Arial"/>
          <w:sz w:val="26"/>
          <w:szCs w:val="26"/>
        </w:rPr>
        <w:t>.</w:t>
      </w:r>
      <w:r w:rsidR="008273D0">
        <w:rPr>
          <w:rFonts w:cs="Arial"/>
          <w:sz w:val="26"/>
          <w:szCs w:val="26"/>
        </w:rPr>
        <w:t xml:space="preserve"> </w:t>
      </w:r>
      <w:r w:rsidR="00D44D19">
        <w:rPr>
          <w:rFonts w:cs="Arial"/>
          <w:sz w:val="26"/>
          <w:szCs w:val="26"/>
          <w:lang w:val="es-ES"/>
        </w:rPr>
        <w:t>Como es bien sabido</w:t>
      </w:r>
      <w:r w:rsidR="00D20069">
        <w:rPr>
          <w:rFonts w:cs="Arial"/>
          <w:sz w:val="26"/>
          <w:szCs w:val="26"/>
          <w:lang w:val="es-ES"/>
        </w:rPr>
        <w:t>,</w:t>
      </w:r>
      <w:r w:rsidR="00D44D19">
        <w:rPr>
          <w:rFonts w:cs="Arial"/>
          <w:sz w:val="26"/>
          <w:szCs w:val="26"/>
          <w:lang w:val="es-ES"/>
        </w:rPr>
        <w:t xml:space="preserve"> e</w:t>
      </w:r>
      <w:r w:rsidR="00A575AF" w:rsidRPr="008273D0">
        <w:rPr>
          <w:rFonts w:cs="Arial"/>
          <w:sz w:val="26"/>
          <w:szCs w:val="26"/>
          <w:lang w:val="es-ES"/>
        </w:rPr>
        <w:t>n atención a las circunstancias extraordinarias provocadas por la pandemia del virus SARS-CoV2-COVID-19</w:t>
      </w:r>
      <w:r w:rsidR="00D20AA9">
        <w:rPr>
          <w:rFonts w:cs="Arial"/>
          <w:sz w:val="26"/>
          <w:szCs w:val="26"/>
          <w:lang w:val="es-ES"/>
        </w:rPr>
        <w:t>,</w:t>
      </w:r>
      <w:r w:rsidR="00A575AF" w:rsidRPr="008273D0">
        <w:rPr>
          <w:rFonts w:cs="Arial"/>
          <w:sz w:val="26"/>
          <w:szCs w:val="26"/>
          <w:lang w:val="es-ES"/>
        </w:rPr>
        <w:t xml:space="preserve"> el Tribunal Pleno de esta Suprema Corte aprobó los Acuerdos Generales 3/2020, 6/2020, 7/2020, 10/2020, 12/2020 y 13/2020</w:t>
      </w:r>
      <w:r w:rsidR="00254514">
        <w:rPr>
          <w:rFonts w:cs="Arial"/>
          <w:sz w:val="26"/>
          <w:szCs w:val="26"/>
          <w:lang w:val="es-ES"/>
        </w:rPr>
        <w:t>.</w:t>
      </w:r>
      <w:r w:rsidR="00A575AF" w:rsidRPr="008273D0">
        <w:rPr>
          <w:rFonts w:cs="Arial"/>
          <w:sz w:val="26"/>
          <w:szCs w:val="26"/>
          <w:lang w:val="es-ES"/>
        </w:rPr>
        <w:t xml:space="preserve"> </w:t>
      </w:r>
      <w:r w:rsidR="00D44D19">
        <w:rPr>
          <w:rFonts w:cs="Arial"/>
          <w:sz w:val="26"/>
          <w:szCs w:val="26"/>
          <w:lang w:val="es-ES"/>
        </w:rPr>
        <w:t>A t</w:t>
      </w:r>
      <w:r w:rsidR="00A575AF" w:rsidRPr="008273D0">
        <w:rPr>
          <w:rFonts w:cs="Arial"/>
          <w:sz w:val="26"/>
          <w:szCs w:val="26"/>
          <w:lang w:val="es-ES"/>
        </w:rPr>
        <w:t xml:space="preserve">ravés de </w:t>
      </w:r>
      <w:r w:rsidR="004A441C">
        <w:rPr>
          <w:rFonts w:cs="Arial"/>
          <w:sz w:val="26"/>
          <w:szCs w:val="26"/>
          <w:lang w:val="es-ES"/>
        </w:rPr>
        <w:t>dichos instrumentos</w:t>
      </w:r>
      <w:r w:rsidR="00A575AF" w:rsidRPr="008273D0">
        <w:rPr>
          <w:rFonts w:cs="Arial"/>
          <w:sz w:val="26"/>
          <w:szCs w:val="26"/>
          <w:lang w:val="es-ES"/>
        </w:rPr>
        <w:t xml:space="preserve"> </w:t>
      </w:r>
      <w:r w:rsidR="00254514">
        <w:rPr>
          <w:rFonts w:cs="Arial"/>
          <w:sz w:val="26"/>
          <w:szCs w:val="26"/>
          <w:lang w:val="es-ES"/>
        </w:rPr>
        <w:t xml:space="preserve">se </w:t>
      </w:r>
      <w:r w:rsidR="00A575AF" w:rsidRPr="008273D0">
        <w:rPr>
          <w:rFonts w:cs="Arial"/>
          <w:sz w:val="26"/>
          <w:szCs w:val="26"/>
          <w:lang w:val="es-ES"/>
        </w:rPr>
        <w:t>declararon inhábiles</w:t>
      </w:r>
      <w:r w:rsidR="00A575AF" w:rsidRPr="008273D0">
        <w:rPr>
          <w:rFonts w:cs="Arial"/>
          <w:b/>
          <w:bCs/>
          <w:sz w:val="26"/>
          <w:szCs w:val="26"/>
          <w:lang w:val="es-ES"/>
        </w:rPr>
        <w:t xml:space="preserve"> </w:t>
      </w:r>
      <w:r w:rsidR="00A575AF" w:rsidRPr="008273D0">
        <w:rPr>
          <w:rFonts w:cs="Arial"/>
          <w:sz w:val="26"/>
          <w:szCs w:val="26"/>
          <w:lang w:val="es-ES"/>
        </w:rPr>
        <w:t xml:space="preserve">los días comprendidos entre el dieciocho de marzo </w:t>
      </w:r>
      <w:r w:rsidR="00254514">
        <w:rPr>
          <w:rFonts w:cs="Arial"/>
          <w:sz w:val="26"/>
          <w:szCs w:val="26"/>
          <w:lang w:val="es-ES"/>
        </w:rPr>
        <w:t>y e</w:t>
      </w:r>
      <w:r w:rsidR="00A575AF" w:rsidRPr="008273D0">
        <w:rPr>
          <w:rFonts w:cs="Arial"/>
          <w:sz w:val="26"/>
          <w:szCs w:val="26"/>
          <w:lang w:val="es-ES"/>
        </w:rPr>
        <w:t xml:space="preserve">l dos de agosto de dos mil veinte. </w:t>
      </w:r>
      <w:r w:rsidR="00254514" w:rsidRPr="00254514">
        <w:rPr>
          <w:rFonts w:cs="Arial"/>
          <w:sz w:val="26"/>
          <w:szCs w:val="26"/>
          <w:lang w:val="es-ES"/>
        </w:rPr>
        <w:t>S</w:t>
      </w:r>
      <w:r w:rsidR="00AF1F42" w:rsidRPr="00254514">
        <w:rPr>
          <w:rFonts w:cs="Arial"/>
          <w:sz w:val="26"/>
          <w:szCs w:val="26"/>
          <w:lang w:val="es-ES"/>
        </w:rPr>
        <w:t xml:space="preserve">i </w:t>
      </w:r>
      <w:r w:rsidR="00501BEC">
        <w:rPr>
          <w:rFonts w:cs="Arial"/>
          <w:sz w:val="26"/>
          <w:szCs w:val="26"/>
          <w:lang w:val="es-ES"/>
        </w:rPr>
        <w:t xml:space="preserve">todos </w:t>
      </w:r>
      <w:r w:rsidR="00AF1F42" w:rsidRPr="00254514">
        <w:rPr>
          <w:rFonts w:cs="Arial"/>
          <w:sz w:val="26"/>
          <w:szCs w:val="26"/>
          <w:lang w:val="es-ES"/>
        </w:rPr>
        <w:t>los decretos impugnados</w:t>
      </w:r>
      <w:r w:rsidR="006949BC" w:rsidRPr="00254514">
        <w:rPr>
          <w:rFonts w:cs="Arial"/>
          <w:sz w:val="26"/>
          <w:szCs w:val="26"/>
          <w:lang w:val="es-ES"/>
        </w:rPr>
        <w:t xml:space="preserve"> </w:t>
      </w:r>
      <w:r w:rsidR="006949BC" w:rsidRPr="00254514">
        <w:rPr>
          <w:rFonts w:cs="Arial"/>
          <w:sz w:val="26"/>
          <w:szCs w:val="26"/>
        </w:rPr>
        <w:t>se publicaron en el Periódico Oficial del Estado de Chihuahua el cuatro de marzo de dos mil veinte</w:t>
      </w:r>
      <w:r w:rsidR="00D93C81" w:rsidRPr="00254514">
        <w:rPr>
          <w:rFonts w:cs="Arial"/>
          <w:sz w:val="26"/>
          <w:szCs w:val="26"/>
        </w:rPr>
        <w:t xml:space="preserve"> y </w:t>
      </w:r>
      <w:r w:rsidR="00AF1F42" w:rsidRPr="00254514">
        <w:rPr>
          <w:rFonts w:cs="Arial"/>
          <w:sz w:val="26"/>
          <w:szCs w:val="26"/>
          <w:lang w:val="es-ES"/>
        </w:rPr>
        <w:t xml:space="preserve">la </w:t>
      </w:r>
      <w:r w:rsidR="00A575AF" w:rsidRPr="00254514">
        <w:rPr>
          <w:rFonts w:cs="Arial"/>
          <w:sz w:val="26"/>
          <w:szCs w:val="26"/>
          <w:lang w:val="es-ES"/>
        </w:rPr>
        <w:t xml:space="preserve">demanda fue presentada el </w:t>
      </w:r>
      <w:r w:rsidR="006949BC" w:rsidRPr="00254514">
        <w:rPr>
          <w:rFonts w:cs="Arial"/>
          <w:sz w:val="26"/>
          <w:szCs w:val="26"/>
          <w:lang w:val="es-ES"/>
        </w:rPr>
        <w:t>tres de agosto</w:t>
      </w:r>
      <w:r w:rsidR="00A575AF" w:rsidRPr="00254514">
        <w:rPr>
          <w:rFonts w:cs="Arial"/>
          <w:sz w:val="26"/>
          <w:szCs w:val="26"/>
          <w:lang w:val="es-ES"/>
        </w:rPr>
        <w:t xml:space="preserve"> </w:t>
      </w:r>
      <w:r w:rsidR="00D44D19">
        <w:rPr>
          <w:rFonts w:cs="Arial"/>
          <w:sz w:val="26"/>
          <w:szCs w:val="26"/>
          <w:lang w:val="es-ES"/>
        </w:rPr>
        <w:t>de ese</w:t>
      </w:r>
      <w:r w:rsidR="00B405B9">
        <w:rPr>
          <w:rFonts w:cs="Arial"/>
          <w:sz w:val="26"/>
          <w:szCs w:val="26"/>
          <w:lang w:val="es-ES"/>
        </w:rPr>
        <w:t xml:space="preserve"> mismo</w:t>
      </w:r>
      <w:r w:rsidR="00D44D19">
        <w:rPr>
          <w:rFonts w:cs="Arial"/>
          <w:sz w:val="26"/>
          <w:szCs w:val="26"/>
          <w:lang w:val="es-ES"/>
        </w:rPr>
        <w:t xml:space="preserve"> año</w:t>
      </w:r>
      <w:r w:rsidR="00D93C81" w:rsidRPr="00254514">
        <w:rPr>
          <w:rFonts w:cs="Arial"/>
          <w:sz w:val="26"/>
          <w:szCs w:val="26"/>
          <w:lang w:val="es-ES"/>
        </w:rPr>
        <w:t xml:space="preserve"> </w:t>
      </w:r>
      <w:r w:rsidR="00501BEC">
        <w:rPr>
          <w:rFonts w:cs="Arial"/>
          <w:sz w:val="26"/>
          <w:szCs w:val="26"/>
          <w:lang w:val="es-ES"/>
        </w:rPr>
        <w:t>—</w:t>
      </w:r>
      <w:r w:rsidR="00D93C81" w:rsidRPr="00254514">
        <w:rPr>
          <w:rFonts w:cs="Arial"/>
          <w:sz w:val="26"/>
          <w:szCs w:val="26"/>
          <w:lang w:val="es-ES"/>
        </w:rPr>
        <w:t>es decir,</w:t>
      </w:r>
      <w:r w:rsidR="00D93C81" w:rsidRPr="00254514">
        <w:rPr>
          <w:rFonts w:cs="Arial"/>
          <w:sz w:val="26"/>
          <w:szCs w:val="26"/>
        </w:rPr>
        <w:t xml:space="preserve"> el primer día hábil siguiente</w:t>
      </w:r>
      <w:r w:rsidR="00D44D19">
        <w:rPr>
          <w:rFonts w:cs="Arial"/>
          <w:sz w:val="26"/>
          <w:szCs w:val="26"/>
        </w:rPr>
        <w:t xml:space="preserve"> </w:t>
      </w:r>
      <w:r w:rsidR="00A124A6">
        <w:rPr>
          <w:rFonts w:cs="Arial"/>
          <w:sz w:val="26"/>
          <w:szCs w:val="26"/>
        </w:rPr>
        <w:t>a</w:t>
      </w:r>
      <w:r w:rsidR="003B11D3">
        <w:rPr>
          <w:rFonts w:cs="Arial"/>
          <w:sz w:val="26"/>
          <w:szCs w:val="26"/>
        </w:rPr>
        <w:t>l</w:t>
      </w:r>
      <w:r w:rsidR="00A124A6">
        <w:rPr>
          <w:rFonts w:cs="Arial"/>
          <w:sz w:val="26"/>
          <w:szCs w:val="26"/>
        </w:rPr>
        <w:t xml:space="preserve"> </w:t>
      </w:r>
      <w:r w:rsidR="003B11D3">
        <w:rPr>
          <w:rFonts w:cs="Arial"/>
          <w:sz w:val="26"/>
          <w:szCs w:val="26"/>
        </w:rPr>
        <w:t>del vencimiento</w:t>
      </w:r>
      <w:r w:rsidR="00D43C38">
        <w:rPr>
          <w:rFonts w:cs="Arial"/>
          <w:sz w:val="26"/>
          <w:szCs w:val="26"/>
        </w:rPr>
        <w:t xml:space="preserve"> </w:t>
      </w:r>
      <w:r w:rsidR="003B11D3">
        <w:rPr>
          <w:rFonts w:cs="Arial"/>
          <w:sz w:val="26"/>
          <w:szCs w:val="26"/>
        </w:rPr>
        <w:t>d</w:t>
      </w:r>
      <w:r w:rsidR="00D43C38">
        <w:rPr>
          <w:rFonts w:cs="Arial"/>
          <w:sz w:val="26"/>
          <w:szCs w:val="26"/>
        </w:rPr>
        <w:t xml:space="preserve">el </w:t>
      </w:r>
      <w:r w:rsidR="00BC6C04">
        <w:rPr>
          <w:rFonts w:cs="Arial"/>
          <w:sz w:val="26"/>
          <w:szCs w:val="26"/>
        </w:rPr>
        <w:t>plazo</w:t>
      </w:r>
      <w:r w:rsidR="00D43C38">
        <w:rPr>
          <w:rFonts w:cs="Arial"/>
          <w:sz w:val="26"/>
          <w:szCs w:val="26"/>
        </w:rPr>
        <w:t xml:space="preserve"> previsto en la Ley Reglamentaria</w:t>
      </w:r>
      <w:r w:rsidR="00501BEC">
        <w:rPr>
          <w:rFonts w:cs="Arial"/>
          <w:sz w:val="26"/>
          <w:szCs w:val="26"/>
        </w:rPr>
        <w:t>,</w:t>
      </w:r>
      <w:r w:rsidR="003B11D3">
        <w:rPr>
          <w:rFonts w:cs="Arial"/>
          <w:sz w:val="26"/>
          <w:szCs w:val="26"/>
        </w:rPr>
        <w:t xml:space="preserve"> que fue inhábil</w:t>
      </w:r>
      <w:r w:rsidR="001D3AA1">
        <w:rPr>
          <w:rFonts w:cs="Arial"/>
          <w:sz w:val="26"/>
          <w:szCs w:val="26"/>
        </w:rPr>
        <w:t xml:space="preserve"> por acuerdo del Tribunal Pleno</w:t>
      </w:r>
      <w:r w:rsidR="00501BEC">
        <w:rPr>
          <w:rFonts w:cs="Arial"/>
          <w:sz w:val="26"/>
          <w:szCs w:val="26"/>
        </w:rPr>
        <w:t>—</w:t>
      </w:r>
      <w:r w:rsidR="00D20069">
        <w:rPr>
          <w:rFonts w:cs="Arial"/>
          <w:sz w:val="26"/>
          <w:szCs w:val="26"/>
        </w:rPr>
        <w:t xml:space="preserve"> entonces</w:t>
      </w:r>
      <w:r w:rsidR="00A77BB6" w:rsidRPr="00254514">
        <w:rPr>
          <w:rFonts w:cs="Arial"/>
          <w:sz w:val="26"/>
          <w:szCs w:val="26"/>
          <w:lang w:val="es-ES"/>
        </w:rPr>
        <w:t xml:space="preserve"> es evidente que </w:t>
      </w:r>
      <w:r w:rsidR="00D20AA9">
        <w:rPr>
          <w:rFonts w:cs="Arial"/>
          <w:sz w:val="26"/>
          <w:szCs w:val="26"/>
          <w:lang w:val="es-ES"/>
        </w:rPr>
        <w:t xml:space="preserve">la promoción de la </w:t>
      </w:r>
      <w:r w:rsidR="007B6EEA">
        <w:rPr>
          <w:rFonts w:cs="Arial"/>
          <w:sz w:val="26"/>
          <w:szCs w:val="26"/>
          <w:lang w:val="es-ES"/>
        </w:rPr>
        <w:t xml:space="preserve">presente </w:t>
      </w:r>
      <w:r w:rsidR="00D20AA9">
        <w:rPr>
          <w:rFonts w:cs="Arial"/>
          <w:sz w:val="26"/>
          <w:szCs w:val="26"/>
          <w:lang w:val="es-ES"/>
        </w:rPr>
        <w:t>acción es</w:t>
      </w:r>
      <w:r w:rsidR="00A77BB6" w:rsidRPr="00400E8B">
        <w:rPr>
          <w:rFonts w:cs="Arial"/>
          <w:sz w:val="26"/>
          <w:szCs w:val="26"/>
          <w:lang w:val="es-ES"/>
        </w:rPr>
        <w:t xml:space="preserve"> oportuna</w:t>
      </w:r>
      <w:r w:rsidR="00A77BB6" w:rsidRPr="00254514">
        <w:rPr>
          <w:rFonts w:cs="Arial"/>
          <w:sz w:val="26"/>
          <w:szCs w:val="26"/>
          <w:lang w:val="es-ES"/>
        </w:rPr>
        <w:t>.</w:t>
      </w:r>
    </w:p>
    <w:p w:rsidR="000F6846" w:rsidRPr="009A6B52" w:rsidRDefault="003520C4" w:rsidP="009A6B52">
      <w:pPr>
        <w:pStyle w:val="corte4fondo"/>
        <w:numPr>
          <w:ilvl w:val="0"/>
          <w:numId w:val="1"/>
        </w:numPr>
        <w:tabs>
          <w:tab w:val="clear" w:pos="-3"/>
          <w:tab w:val="left" w:pos="0"/>
        </w:tabs>
        <w:spacing w:after="360" w:line="360" w:lineRule="auto"/>
        <w:ind w:left="0" w:hanging="567"/>
        <w:rPr>
          <w:rFonts w:cs="Arial"/>
          <w:sz w:val="26"/>
          <w:szCs w:val="26"/>
        </w:rPr>
      </w:pPr>
      <w:r w:rsidRPr="004438C8">
        <w:rPr>
          <w:rFonts w:eastAsiaTheme="minorHAnsi" w:cs="Arial"/>
          <w:b/>
          <w:sz w:val="26"/>
          <w:szCs w:val="26"/>
          <w:lang w:eastAsia="en-US"/>
        </w:rPr>
        <w:t>Legitimación.</w:t>
      </w:r>
      <w:r w:rsidRPr="004438C8">
        <w:rPr>
          <w:rFonts w:cs="Arial"/>
          <w:sz w:val="26"/>
          <w:szCs w:val="26"/>
        </w:rPr>
        <w:t xml:space="preserve"> El artículo 105, fracción II, inciso </w:t>
      </w:r>
      <w:r w:rsidR="00566B4F">
        <w:rPr>
          <w:rFonts w:cs="Arial"/>
          <w:sz w:val="26"/>
          <w:szCs w:val="26"/>
        </w:rPr>
        <w:t>g</w:t>
      </w:r>
      <w:r w:rsidRPr="004438C8">
        <w:rPr>
          <w:rFonts w:cs="Arial"/>
          <w:sz w:val="26"/>
          <w:szCs w:val="26"/>
        </w:rPr>
        <w:t>), de la Constitución Federal</w:t>
      </w:r>
      <w:r w:rsidR="00566B4F" w:rsidRPr="00894B94">
        <w:rPr>
          <w:rStyle w:val="Refdenotaalpie"/>
          <w:rFonts w:cs="Arial"/>
          <w:sz w:val="26"/>
          <w:szCs w:val="26"/>
        </w:rPr>
        <w:footnoteReference w:id="19"/>
      </w:r>
      <w:r w:rsidRPr="004438C8">
        <w:rPr>
          <w:rFonts w:cs="Arial"/>
          <w:sz w:val="26"/>
          <w:szCs w:val="26"/>
        </w:rPr>
        <w:t xml:space="preserve"> dispone que </w:t>
      </w:r>
      <w:r w:rsidR="00A5478B">
        <w:rPr>
          <w:rFonts w:cs="Arial"/>
          <w:sz w:val="26"/>
          <w:szCs w:val="26"/>
        </w:rPr>
        <w:t xml:space="preserve">la Comisión Nacional de los Derechos Humanos </w:t>
      </w:r>
      <w:r w:rsidRPr="004438C8">
        <w:rPr>
          <w:rFonts w:cs="Arial"/>
          <w:sz w:val="26"/>
          <w:szCs w:val="26"/>
        </w:rPr>
        <w:t>cuenta con legitimación para promover acciones de inconstitucionalidad en contra de leyes federales o locales,</w:t>
      </w:r>
      <w:r w:rsidR="00A5478B">
        <w:rPr>
          <w:rFonts w:cs="Arial"/>
          <w:sz w:val="26"/>
          <w:szCs w:val="26"/>
        </w:rPr>
        <w:t xml:space="preserve"> así como de tratados internacionales celebrados por el Ejecutivo Federal y aprobados por el Senado de la República, que vulneren los derechos humanos reconocidos en la Constitución Federal y en los tratados internacionales de los que México sea parte</w:t>
      </w:r>
      <w:r w:rsidRPr="004438C8">
        <w:rPr>
          <w:rFonts w:cs="Arial"/>
          <w:sz w:val="26"/>
          <w:szCs w:val="26"/>
        </w:rPr>
        <w:t xml:space="preserve">. </w:t>
      </w:r>
      <w:r w:rsidR="00AC4FD5">
        <w:rPr>
          <w:rFonts w:cs="Arial"/>
          <w:sz w:val="26"/>
          <w:szCs w:val="26"/>
        </w:rPr>
        <w:t>Asimismo, e</w:t>
      </w:r>
      <w:r w:rsidRPr="004438C8">
        <w:rPr>
          <w:rFonts w:cs="Arial"/>
          <w:sz w:val="26"/>
          <w:szCs w:val="26"/>
        </w:rPr>
        <w:t>n términos de los artículos 11 y 59 de la Ley Reglamentaria</w:t>
      </w:r>
      <w:r w:rsidRPr="00894B94">
        <w:rPr>
          <w:rStyle w:val="Refdenotaalpie"/>
          <w:rFonts w:cs="Arial"/>
          <w:sz w:val="26"/>
          <w:szCs w:val="26"/>
        </w:rPr>
        <w:footnoteReference w:id="20"/>
      </w:r>
      <w:r w:rsidRPr="004438C8">
        <w:rPr>
          <w:rFonts w:cs="Arial"/>
          <w:sz w:val="26"/>
          <w:szCs w:val="26"/>
        </w:rPr>
        <w:t xml:space="preserve">, dicho órgano debe comparecer por conducto de los </w:t>
      </w:r>
      <w:r w:rsidRPr="004438C8">
        <w:rPr>
          <w:rFonts w:cs="Arial"/>
          <w:sz w:val="26"/>
          <w:szCs w:val="26"/>
        </w:rPr>
        <w:lastRenderedPageBreak/>
        <w:t>funcionarios facultados legalmente para representarlos y, en todo caso, se debe presumir que el funcionario quien comparece goza de la representación legal y cuenta con la capacidad para hace</w:t>
      </w:r>
      <w:r w:rsidR="009B0A22">
        <w:rPr>
          <w:rFonts w:cs="Arial"/>
          <w:sz w:val="26"/>
          <w:szCs w:val="26"/>
        </w:rPr>
        <w:t>rlo, salvo prueba en contrario.</w:t>
      </w:r>
      <w:r w:rsidR="009A6B52">
        <w:rPr>
          <w:rFonts w:cs="Arial"/>
          <w:sz w:val="26"/>
          <w:szCs w:val="26"/>
        </w:rPr>
        <w:t xml:space="preserve"> En el </w:t>
      </w:r>
      <w:r w:rsidR="00611D84">
        <w:rPr>
          <w:rFonts w:cs="Arial"/>
          <w:sz w:val="26"/>
          <w:szCs w:val="26"/>
        </w:rPr>
        <w:t>presente asunto</w:t>
      </w:r>
      <w:r w:rsidR="009A6B52">
        <w:rPr>
          <w:rFonts w:cs="Arial"/>
          <w:sz w:val="26"/>
          <w:szCs w:val="26"/>
        </w:rPr>
        <w:t xml:space="preserve"> se surten </w:t>
      </w:r>
      <w:r w:rsidR="00AC4FD5">
        <w:rPr>
          <w:rFonts w:cs="Arial"/>
          <w:sz w:val="26"/>
          <w:szCs w:val="26"/>
        </w:rPr>
        <w:t>tale</w:t>
      </w:r>
      <w:r w:rsidR="00971F35">
        <w:rPr>
          <w:rFonts w:cs="Arial"/>
          <w:sz w:val="26"/>
          <w:szCs w:val="26"/>
        </w:rPr>
        <w:t>s supuestos</w:t>
      </w:r>
      <w:r w:rsidR="009A6B52">
        <w:rPr>
          <w:rFonts w:cs="Arial"/>
          <w:sz w:val="26"/>
          <w:szCs w:val="26"/>
        </w:rPr>
        <w:t xml:space="preserve">, pues la demanda fue </w:t>
      </w:r>
      <w:r w:rsidR="002A4904">
        <w:rPr>
          <w:rFonts w:cs="Arial"/>
          <w:sz w:val="26"/>
          <w:szCs w:val="26"/>
        </w:rPr>
        <w:t>suscrita</w:t>
      </w:r>
      <w:r w:rsidR="009A6B52">
        <w:rPr>
          <w:rFonts w:cs="Arial"/>
          <w:sz w:val="26"/>
          <w:szCs w:val="26"/>
        </w:rPr>
        <w:t xml:space="preserve"> por </w:t>
      </w:r>
      <w:r w:rsidR="009A065F">
        <w:rPr>
          <w:rFonts w:cs="Arial"/>
          <w:sz w:val="26"/>
          <w:szCs w:val="26"/>
        </w:rPr>
        <w:t>María del Rosario Piedra Ibarra,</w:t>
      </w:r>
      <w:r w:rsidR="00C92509" w:rsidRPr="009A6B52">
        <w:rPr>
          <w:sz w:val="26"/>
          <w:szCs w:val="26"/>
        </w:rPr>
        <w:t xml:space="preserve"> President</w:t>
      </w:r>
      <w:r w:rsidR="00542F23" w:rsidRPr="009A6B52">
        <w:rPr>
          <w:sz w:val="26"/>
          <w:szCs w:val="26"/>
        </w:rPr>
        <w:t>a</w:t>
      </w:r>
      <w:r w:rsidR="00C92509" w:rsidRPr="009A6B52">
        <w:rPr>
          <w:sz w:val="26"/>
          <w:szCs w:val="26"/>
        </w:rPr>
        <w:t xml:space="preserve"> de la Comisión Nacional de los Derechos Humanos</w:t>
      </w:r>
      <w:r w:rsidR="009A6B52">
        <w:rPr>
          <w:sz w:val="26"/>
          <w:szCs w:val="26"/>
        </w:rPr>
        <w:t>, quien</w:t>
      </w:r>
      <w:r w:rsidR="00C92509" w:rsidRPr="009A6B52">
        <w:rPr>
          <w:sz w:val="26"/>
          <w:szCs w:val="26"/>
        </w:rPr>
        <w:t xml:space="preserve"> </w:t>
      </w:r>
      <w:r w:rsidR="00A5478B" w:rsidRPr="009A6B52">
        <w:rPr>
          <w:sz w:val="26"/>
          <w:szCs w:val="26"/>
        </w:rPr>
        <w:t xml:space="preserve">cuenta con facultades </w:t>
      </w:r>
      <w:r w:rsidR="00400E8B">
        <w:rPr>
          <w:sz w:val="26"/>
          <w:szCs w:val="26"/>
        </w:rPr>
        <w:t>de representación del organismo</w:t>
      </w:r>
      <w:r w:rsidR="00A5478B" w:rsidRPr="009A6B52">
        <w:rPr>
          <w:sz w:val="26"/>
          <w:szCs w:val="26"/>
        </w:rPr>
        <w:t xml:space="preserve"> </w:t>
      </w:r>
      <w:r w:rsidR="00443ABA">
        <w:rPr>
          <w:sz w:val="26"/>
          <w:szCs w:val="26"/>
        </w:rPr>
        <w:t>en</w:t>
      </w:r>
      <w:r w:rsidR="00A5478B" w:rsidRPr="009A6B52">
        <w:rPr>
          <w:sz w:val="26"/>
          <w:szCs w:val="26"/>
        </w:rPr>
        <w:t xml:space="preserve"> </w:t>
      </w:r>
      <w:r w:rsidR="00443ABA">
        <w:rPr>
          <w:sz w:val="26"/>
          <w:szCs w:val="26"/>
        </w:rPr>
        <w:t>términos de</w:t>
      </w:r>
      <w:r w:rsidR="00A5478B" w:rsidRPr="009A6B52">
        <w:rPr>
          <w:sz w:val="26"/>
          <w:szCs w:val="26"/>
        </w:rPr>
        <w:t xml:space="preserve"> </w:t>
      </w:r>
      <w:r w:rsidR="00C92509" w:rsidRPr="009A6B52">
        <w:rPr>
          <w:sz w:val="26"/>
          <w:szCs w:val="26"/>
        </w:rPr>
        <w:t>los</w:t>
      </w:r>
      <w:r w:rsidR="00A5478B" w:rsidRPr="009A6B52">
        <w:rPr>
          <w:sz w:val="26"/>
          <w:szCs w:val="26"/>
        </w:rPr>
        <w:t xml:space="preserve"> artículo</w:t>
      </w:r>
      <w:r w:rsidR="00C92509" w:rsidRPr="009A6B52">
        <w:rPr>
          <w:sz w:val="26"/>
          <w:szCs w:val="26"/>
        </w:rPr>
        <w:t>s</w:t>
      </w:r>
      <w:r w:rsidR="00A5478B" w:rsidRPr="009A6B52">
        <w:rPr>
          <w:sz w:val="26"/>
          <w:szCs w:val="26"/>
        </w:rPr>
        <w:t xml:space="preserve"> 15</w:t>
      </w:r>
      <w:r w:rsidR="00B26D26" w:rsidRPr="009A6B52">
        <w:rPr>
          <w:sz w:val="26"/>
          <w:szCs w:val="26"/>
        </w:rPr>
        <w:t>, fracc</w:t>
      </w:r>
      <w:r w:rsidR="009A6B52">
        <w:rPr>
          <w:sz w:val="26"/>
          <w:szCs w:val="26"/>
        </w:rPr>
        <w:t>iones</w:t>
      </w:r>
      <w:r w:rsidR="00B26D26" w:rsidRPr="009A6B52">
        <w:rPr>
          <w:sz w:val="26"/>
          <w:szCs w:val="26"/>
        </w:rPr>
        <w:t xml:space="preserve"> I</w:t>
      </w:r>
      <w:r w:rsidR="009A6B52">
        <w:rPr>
          <w:sz w:val="26"/>
          <w:szCs w:val="26"/>
        </w:rPr>
        <w:t xml:space="preserve"> y XI</w:t>
      </w:r>
      <w:r w:rsidR="00B26D26" w:rsidRPr="009A6B52">
        <w:rPr>
          <w:sz w:val="26"/>
          <w:szCs w:val="26"/>
        </w:rPr>
        <w:t>,</w:t>
      </w:r>
      <w:r w:rsidR="00A5478B" w:rsidRPr="009A6B52">
        <w:rPr>
          <w:sz w:val="26"/>
          <w:szCs w:val="26"/>
        </w:rPr>
        <w:t xml:space="preserve"> de la Ley de la Comisión Nacional de los Derechos Humanos</w:t>
      </w:r>
      <w:r w:rsidR="00A5478B" w:rsidRPr="00894B94">
        <w:rPr>
          <w:rStyle w:val="Refdenotaalpie"/>
          <w:sz w:val="26"/>
          <w:szCs w:val="26"/>
        </w:rPr>
        <w:footnoteReference w:id="21"/>
      </w:r>
      <w:r w:rsidR="00C92509" w:rsidRPr="009A6B52">
        <w:rPr>
          <w:sz w:val="26"/>
          <w:szCs w:val="26"/>
        </w:rPr>
        <w:t xml:space="preserve">. </w:t>
      </w:r>
      <w:r w:rsidR="002A4904">
        <w:rPr>
          <w:rFonts w:cs="Arial"/>
          <w:sz w:val="26"/>
          <w:szCs w:val="26"/>
        </w:rPr>
        <w:t>La</w:t>
      </w:r>
      <w:r w:rsidR="009A6B52">
        <w:rPr>
          <w:rFonts w:cs="Arial"/>
          <w:sz w:val="26"/>
          <w:szCs w:val="26"/>
        </w:rPr>
        <w:t xml:space="preserve"> funcionaria a</w:t>
      </w:r>
      <w:r w:rsidR="002A4904">
        <w:rPr>
          <w:rFonts w:cs="Arial"/>
          <w:sz w:val="26"/>
          <w:szCs w:val="26"/>
        </w:rPr>
        <w:t>creditó</w:t>
      </w:r>
      <w:r w:rsidR="000F6846" w:rsidRPr="009A6B52">
        <w:rPr>
          <w:rFonts w:cs="Arial"/>
          <w:sz w:val="26"/>
          <w:szCs w:val="26"/>
        </w:rPr>
        <w:t xml:space="preserve"> su pers</w:t>
      </w:r>
      <w:r w:rsidR="009A6B52">
        <w:rPr>
          <w:rFonts w:cs="Arial"/>
          <w:sz w:val="26"/>
          <w:szCs w:val="26"/>
        </w:rPr>
        <w:t>onalidad con copia certificada</w:t>
      </w:r>
      <w:r w:rsidR="000F6846" w:rsidRPr="009A6B52">
        <w:rPr>
          <w:rFonts w:cs="Arial"/>
          <w:sz w:val="26"/>
          <w:szCs w:val="26"/>
        </w:rPr>
        <w:t xml:space="preserve"> de</w:t>
      </w:r>
      <w:r w:rsidR="009A6B52">
        <w:rPr>
          <w:rFonts w:cs="Arial"/>
          <w:sz w:val="26"/>
          <w:szCs w:val="26"/>
        </w:rPr>
        <w:t xml:space="preserve">l acuerdo </w:t>
      </w:r>
      <w:r w:rsidR="002A4904">
        <w:rPr>
          <w:rFonts w:cs="Arial"/>
          <w:sz w:val="26"/>
          <w:szCs w:val="26"/>
        </w:rPr>
        <w:t>del</w:t>
      </w:r>
      <w:r w:rsidR="009A6B52">
        <w:rPr>
          <w:rFonts w:cs="Arial"/>
          <w:sz w:val="26"/>
          <w:szCs w:val="26"/>
        </w:rPr>
        <w:t xml:space="preserve"> Senado de la República</w:t>
      </w:r>
      <w:r w:rsidR="00C028CC">
        <w:rPr>
          <w:rFonts w:cs="Arial"/>
          <w:sz w:val="26"/>
          <w:szCs w:val="26"/>
        </w:rPr>
        <w:t xml:space="preserve"> por medio del cual se le designó como Presidenta de</w:t>
      </w:r>
      <w:r w:rsidR="00AB28BD">
        <w:rPr>
          <w:rFonts w:cs="Arial"/>
          <w:sz w:val="26"/>
          <w:szCs w:val="26"/>
        </w:rPr>
        <w:t xml:space="preserve"> dich</w:t>
      </w:r>
      <w:r w:rsidR="00400E8B">
        <w:rPr>
          <w:rFonts w:cs="Arial"/>
          <w:sz w:val="26"/>
          <w:szCs w:val="26"/>
        </w:rPr>
        <w:t>a Comisión</w:t>
      </w:r>
      <w:r w:rsidR="00C028CC">
        <w:rPr>
          <w:rFonts w:cs="Arial"/>
          <w:sz w:val="26"/>
          <w:szCs w:val="26"/>
        </w:rPr>
        <w:t xml:space="preserve"> </w:t>
      </w:r>
      <w:r w:rsidR="00400E8B">
        <w:rPr>
          <w:rFonts w:cs="Arial"/>
          <w:sz w:val="26"/>
          <w:szCs w:val="26"/>
        </w:rPr>
        <w:t xml:space="preserve">por el periodo que comprende </w:t>
      </w:r>
      <w:r w:rsidR="00C028CC">
        <w:rPr>
          <w:rFonts w:cs="Arial"/>
          <w:sz w:val="26"/>
          <w:szCs w:val="26"/>
        </w:rPr>
        <w:t xml:space="preserve">del dieciséis de noviembre de dos mil diecinueve </w:t>
      </w:r>
      <w:r w:rsidR="00400E8B">
        <w:rPr>
          <w:rFonts w:cs="Arial"/>
          <w:sz w:val="26"/>
          <w:szCs w:val="26"/>
        </w:rPr>
        <w:t>a</w:t>
      </w:r>
      <w:r w:rsidR="00C028CC">
        <w:rPr>
          <w:rFonts w:cs="Arial"/>
          <w:sz w:val="26"/>
          <w:szCs w:val="26"/>
        </w:rPr>
        <w:t>l quince de noviembre de dos mil veinticuatro</w:t>
      </w:r>
      <w:r w:rsidR="000F6846" w:rsidRPr="00894B94">
        <w:rPr>
          <w:rStyle w:val="Refdenotaalpie"/>
          <w:rFonts w:cs="Arial"/>
          <w:sz w:val="26"/>
          <w:szCs w:val="26"/>
        </w:rPr>
        <w:footnoteReference w:id="22"/>
      </w:r>
      <w:r w:rsidR="009A6B52">
        <w:rPr>
          <w:rFonts w:cs="Arial"/>
          <w:sz w:val="26"/>
          <w:szCs w:val="26"/>
        </w:rPr>
        <w:t>.</w:t>
      </w:r>
    </w:p>
    <w:p w:rsidR="003520C4" w:rsidRPr="006E23F2" w:rsidRDefault="003520C4" w:rsidP="003520C4">
      <w:pPr>
        <w:pStyle w:val="Prrafodelista"/>
        <w:tabs>
          <w:tab w:val="left" w:pos="0"/>
        </w:tabs>
        <w:spacing w:after="360" w:line="360" w:lineRule="auto"/>
        <w:ind w:left="0"/>
        <w:jc w:val="center"/>
        <w:rPr>
          <w:rFonts w:ascii="Arial" w:hAnsi="Arial" w:cs="Arial"/>
          <w:sz w:val="26"/>
          <w:szCs w:val="26"/>
        </w:rPr>
      </w:pPr>
      <w:r>
        <w:rPr>
          <w:rFonts w:ascii="Arial" w:hAnsi="Arial" w:cs="Arial"/>
          <w:b/>
          <w:sz w:val="26"/>
          <w:szCs w:val="26"/>
        </w:rPr>
        <w:t>III</w:t>
      </w:r>
      <w:r w:rsidRPr="006E23F2">
        <w:rPr>
          <w:rFonts w:ascii="Arial" w:hAnsi="Arial" w:cs="Arial"/>
          <w:b/>
          <w:sz w:val="26"/>
          <w:szCs w:val="26"/>
        </w:rPr>
        <w:t>. CAUSAS DE IMPROCEDENCIA</w:t>
      </w:r>
    </w:p>
    <w:p w:rsidR="002C2EB2" w:rsidRPr="001C4C9E" w:rsidRDefault="00280C97" w:rsidP="001C4C9E">
      <w:pPr>
        <w:pStyle w:val="corte4fondo"/>
        <w:numPr>
          <w:ilvl w:val="0"/>
          <w:numId w:val="1"/>
        </w:numPr>
        <w:tabs>
          <w:tab w:val="clear" w:pos="-3"/>
          <w:tab w:val="left" w:pos="0"/>
        </w:tabs>
        <w:spacing w:after="360" w:line="360" w:lineRule="auto"/>
        <w:ind w:left="0" w:hanging="567"/>
        <w:rPr>
          <w:rFonts w:cs="Arial"/>
          <w:b/>
          <w:sz w:val="26"/>
          <w:szCs w:val="26"/>
        </w:rPr>
      </w:pPr>
      <w:r w:rsidRPr="001C4C9E">
        <w:rPr>
          <w:rFonts w:cs="Arial"/>
          <w:sz w:val="26"/>
          <w:szCs w:val="26"/>
        </w:rPr>
        <w:t xml:space="preserve">En el presente asunto no se invocaron causas de improcedencia ni el Tribunal Pleno advierte de oficio la actualización de alguna otra que llevara a decretar </w:t>
      </w:r>
      <w:r w:rsidR="00732501">
        <w:rPr>
          <w:rFonts w:cs="Arial"/>
          <w:sz w:val="26"/>
          <w:szCs w:val="26"/>
        </w:rPr>
        <w:t>el sobreseimiento de la acción.</w:t>
      </w:r>
    </w:p>
    <w:p w:rsidR="003520C4" w:rsidRDefault="003520C4" w:rsidP="002C2EB2">
      <w:pPr>
        <w:pStyle w:val="corte4fondo"/>
        <w:spacing w:after="360" w:line="360" w:lineRule="auto"/>
        <w:ind w:firstLine="0"/>
        <w:jc w:val="center"/>
        <w:rPr>
          <w:rFonts w:cs="Arial"/>
          <w:b/>
          <w:sz w:val="26"/>
          <w:szCs w:val="26"/>
        </w:rPr>
      </w:pPr>
      <w:r w:rsidRPr="006E23F2">
        <w:rPr>
          <w:rFonts w:cs="Arial"/>
          <w:b/>
          <w:sz w:val="26"/>
          <w:szCs w:val="26"/>
        </w:rPr>
        <w:t>I</w:t>
      </w:r>
      <w:r>
        <w:rPr>
          <w:rFonts w:cs="Arial"/>
          <w:b/>
          <w:sz w:val="26"/>
          <w:szCs w:val="26"/>
        </w:rPr>
        <w:t>V</w:t>
      </w:r>
      <w:r w:rsidRPr="006E23F2">
        <w:rPr>
          <w:rFonts w:cs="Arial"/>
          <w:b/>
          <w:sz w:val="26"/>
          <w:szCs w:val="26"/>
        </w:rPr>
        <w:t xml:space="preserve">. </w:t>
      </w:r>
      <w:r>
        <w:rPr>
          <w:rFonts w:cs="Arial"/>
          <w:b/>
          <w:sz w:val="26"/>
          <w:szCs w:val="26"/>
        </w:rPr>
        <w:t>ESTUDIO DE FONDO</w:t>
      </w:r>
    </w:p>
    <w:p w:rsidR="001D7F75" w:rsidRDefault="001D7F75" w:rsidP="001D7F75">
      <w:pPr>
        <w:pStyle w:val="corte4fondo"/>
        <w:numPr>
          <w:ilvl w:val="0"/>
          <w:numId w:val="1"/>
        </w:numPr>
        <w:tabs>
          <w:tab w:val="clear" w:pos="-3"/>
          <w:tab w:val="left" w:pos="0"/>
        </w:tabs>
        <w:spacing w:after="360" w:line="360" w:lineRule="auto"/>
        <w:ind w:left="0" w:hanging="567"/>
        <w:rPr>
          <w:rFonts w:cs="Arial"/>
          <w:sz w:val="26"/>
          <w:szCs w:val="26"/>
        </w:rPr>
      </w:pPr>
      <w:r>
        <w:rPr>
          <w:rFonts w:cs="Arial"/>
          <w:b/>
          <w:sz w:val="26"/>
          <w:szCs w:val="26"/>
        </w:rPr>
        <w:t>Decretos impugnados</w:t>
      </w:r>
      <w:r w:rsidRPr="009E1C24">
        <w:rPr>
          <w:rFonts w:cs="Arial"/>
          <w:b/>
          <w:sz w:val="26"/>
          <w:szCs w:val="26"/>
        </w:rPr>
        <w:t>.</w:t>
      </w:r>
      <w:r>
        <w:rPr>
          <w:rFonts w:cs="Arial"/>
          <w:b/>
          <w:sz w:val="26"/>
          <w:szCs w:val="26"/>
        </w:rPr>
        <w:t xml:space="preserve"> </w:t>
      </w:r>
      <w:r>
        <w:rPr>
          <w:rFonts w:cs="Arial"/>
          <w:sz w:val="26"/>
          <w:szCs w:val="26"/>
        </w:rPr>
        <w:t xml:space="preserve">Por cuestión de método y claridad en la exposición, </w:t>
      </w:r>
      <w:r w:rsidR="00EF1006">
        <w:rPr>
          <w:rFonts w:cs="Arial"/>
          <w:sz w:val="26"/>
          <w:szCs w:val="26"/>
        </w:rPr>
        <w:t>dado</w:t>
      </w:r>
      <w:r>
        <w:rPr>
          <w:rFonts w:cs="Arial"/>
          <w:sz w:val="26"/>
          <w:szCs w:val="26"/>
        </w:rPr>
        <w:t xml:space="preserve"> que no todos los decretos impugnados se controvie</w:t>
      </w:r>
      <w:r w:rsidR="00522D55">
        <w:rPr>
          <w:rFonts w:cs="Arial"/>
          <w:sz w:val="26"/>
          <w:szCs w:val="26"/>
        </w:rPr>
        <w:t>r</w:t>
      </w:r>
      <w:r w:rsidR="00D01540">
        <w:rPr>
          <w:rFonts w:cs="Arial"/>
          <w:sz w:val="26"/>
          <w:szCs w:val="26"/>
        </w:rPr>
        <w:t>te</w:t>
      </w:r>
      <w:r>
        <w:rPr>
          <w:rFonts w:cs="Arial"/>
          <w:sz w:val="26"/>
          <w:szCs w:val="26"/>
        </w:rPr>
        <w:t xml:space="preserve">n </w:t>
      </w:r>
      <w:r w:rsidR="00EF1006">
        <w:rPr>
          <w:rFonts w:cs="Arial"/>
          <w:sz w:val="26"/>
          <w:szCs w:val="26"/>
        </w:rPr>
        <w:t xml:space="preserve">exactamente </w:t>
      </w:r>
      <w:r>
        <w:rPr>
          <w:rFonts w:cs="Arial"/>
          <w:sz w:val="26"/>
          <w:szCs w:val="26"/>
        </w:rPr>
        <w:t>por las mismas razones, a continuación</w:t>
      </w:r>
      <w:r w:rsidRPr="00415FAF">
        <w:rPr>
          <w:rFonts w:cs="Arial"/>
          <w:sz w:val="26"/>
          <w:szCs w:val="26"/>
        </w:rPr>
        <w:t xml:space="preserve"> </w:t>
      </w:r>
      <w:r>
        <w:rPr>
          <w:rFonts w:cs="Arial"/>
          <w:sz w:val="26"/>
          <w:szCs w:val="26"/>
        </w:rPr>
        <w:t>se describe sintéticamente el contenido de cada uno de ellos.</w:t>
      </w:r>
    </w:p>
    <w:p w:rsidR="001D7F75" w:rsidRPr="0062406C" w:rsidRDefault="0048166A" w:rsidP="00AE324F">
      <w:pPr>
        <w:pStyle w:val="corte4fondo"/>
        <w:numPr>
          <w:ilvl w:val="1"/>
          <w:numId w:val="1"/>
        </w:numPr>
        <w:tabs>
          <w:tab w:val="left" w:pos="0"/>
        </w:tabs>
        <w:spacing w:after="360" w:line="360" w:lineRule="auto"/>
        <w:ind w:left="851" w:firstLine="0"/>
        <w:rPr>
          <w:rFonts w:cs="Arial"/>
          <w:sz w:val="26"/>
          <w:szCs w:val="26"/>
        </w:rPr>
      </w:pPr>
      <w:r w:rsidRPr="001D7F75">
        <w:rPr>
          <w:rFonts w:cs="Arial"/>
          <w:bCs/>
          <w:sz w:val="26"/>
          <w:szCs w:val="26"/>
        </w:rPr>
        <w:lastRenderedPageBreak/>
        <w:t xml:space="preserve">El </w:t>
      </w:r>
      <w:r w:rsidRPr="004F0020">
        <w:rPr>
          <w:rFonts w:cs="Arial"/>
          <w:b/>
          <w:bCs/>
          <w:sz w:val="26"/>
          <w:szCs w:val="26"/>
        </w:rPr>
        <w:t>Decreto N</w:t>
      </w:r>
      <w:r w:rsidR="003644E3" w:rsidRPr="004F0020">
        <w:rPr>
          <w:rFonts w:cs="Arial"/>
          <w:b/>
          <w:bCs/>
          <w:sz w:val="26"/>
          <w:szCs w:val="26"/>
        </w:rPr>
        <w:t>°</w:t>
      </w:r>
      <w:r w:rsidRPr="004F0020">
        <w:rPr>
          <w:rFonts w:cs="Arial"/>
          <w:b/>
          <w:bCs/>
          <w:sz w:val="26"/>
          <w:szCs w:val="26"/>
        </w:rPr>
        <w:t xml:space="preserve"> </w:t>
      </w:r>
      <w:bookmarkStart w:id="1" w:name="_Hlk51186709"/>
      <w:r w:rsidRPr="004F0020">
        <w:rPr>
          <w:rFonts w:cs="Arial"/>
          <w:b/>
          <w:sz w:val="26"/>
          <w:szCs w:val="26"/>
        </w:rPr>
        <w:t>LXVI/RFCNT/0512/2019 I P.O.</w:t>
      </w:r>
      <w:r w:rsidR="004D3CCA" w:rsidRPr="00894B94">
        <w:rPr>
          <w:rStyle w:val="Refdenotaalpie"/>
          <w:rFonts w:cs="Arial"/>
          <w:sz w:val="26"/>
          <w:szCs w:val="26"/>
        </w:rPr>
        <w:footnoteReference w:id="23"/>
      </w:r>
      <w:r w:rsidRPr="001D7F75">
        <w:rPr>
          <w:rFonts w:cs="Arial"/>
          <w:sz w:val="26"/>
          <w:szCs w:val="26"/>
        </w:rPr>
        <w:t xml:space="preserve"> </w:t>
      </w:r>
      <w:bookmarkEnd w:id="1"/>
      <w:r w:rsidR="006F14FB">
        <w:rPr>
          <w:rFonts w:cs="Arial"/>
          <w:sz w:val="26"/>
          <w:szCs w:val="26"/>
        </w:rPr>
        <w:t>reform</w:t>
      </w:r>
      <w:r w:rsidRPr="001D7F75">
        <w:rPr>
          <w:rFonts w:cs="Arial"/>
          <w:sz w:val="26"/>
          <w:szCs w:val="26"/>
        </w:rPr>
        <w:t>ó el artículo 9, párrafo cuarto, de la Constitución Política del Estad</w:t>
      </w:r>
      <w:r>
        <w:rPr>
          <w:rFonts w:cs="Arial"/>
          <w:sz w:val="26"/>
          <w:szCs w:val="26"/>
        </w:rPr>
        <w:t>o Libre y Soberano de Chihuahua</w:t>
      </w:r>
      <w:r w:rsidR="006A108E" w:rsidRPr="00894B94">
        <w:rPr>
          <w:rStyle w:val="Refdenotaalpie"/>
          <w:rFonts w:cs="Arial"/>
          <w:sz w:val="26"/>
          <w:szCs w:val="26"/>
        </w:rPr>
        <w:footnoteReference w:id="24"/>
      </w:r>
      <w:r w:rsidR="001D7F75" w:rsidRPr="0048166A">
        <w:rPr>
          <w:rFonts w:cs="Arial"/>
          <w:sz w:val="26"/>
          <w:szCs w:val="26"/>
        </w:rPr>
        <w:t>.</w:t>
      </w:r>
      <w:r w:rsidR="005F7765">
        <w:rPr>
          <w:rFonts w:cs="Arial"/>
          <w:sz w:val="26"/>
          <w:szCs w:val="26"/>
        </w:rPr>
        <w:t xml:space="preserve"> </w:t>
      </w:r>
      <w:r w:rsidR="004E36A6">
        <w:rPr>
          <w:rFonts w:cs="Arial"/>
          <w:sz w:val="26"/>
          <w:szCs w:val="26"/>
        </w:rPr>
        <w:t>P</w:t>
      </w:r>
      <w:r w:rsidR="0062406C">
        <w:rPr>
          <w:rFonts w:cs="Arial"/>
          <w:sz w:val="26"/>
          <w:szCs w:val="26"/>
        </w:rPr>
        <w:t>or un lado</w:t>
      </w:r>
      <w:r w:rsidR="00B9009F">
        <w:rPr>
          <w:rFonts w:cs="Arial"/>
          <w:sz w:val="26"/>
          <w:szCs w:val="26"/>
        </w:rPr>
        <w:t>, se</w:t>
      </w:r>
      <w:r w:rsidR="005F7765">
        <w:rPr>
          <w:rFonts w:cs="Arial"/>
          <w:sz w:val="26"/>
          <w:szCs w:val="26"/>
        </w:rPr>
        <w:t xml:space="preserve"> </w:t>
      </w:r>
      <w:r w:rsidR="002F78D5">
        <w:rPr>
          <w:rFonts w:cs="Arial"/>
          <w:sz w:val="26"/>
          <w:szCs w:val="26"/>
        </w:rPr>
        <w:t xml:space="preserve">introdujo </w:t>
      </w:r>
      <w:r w:rsidR="00B1059B">
        <w:rPr>
          <w:rFonts w:cs="Arial"/>
          <w:sz w:val="26"/>
          <w:szCs w:val="26"/>
        </w:rPr>
        <w:t xml:space="preserve">lenguaje incluyente </w:t>
      </w:r>
      <w:r w:rsidR="0062406C">
        <w:rPr>
          <w:rFonts w:cs="Arial"/>
          <w:sz w:val="26"/>
          <w:szCs w:val="26"/>
        </w:rPr>
        <w:t>respecto de</w:t>
      </w:r>
      <w:r w:rsidR="00B1059B">
        <w:rPr>
          <w:rFonts w:cs="Arial"/>
          <w:sz w:val="26"/>
          <w:szCs w:val="26"/>
        </w:rPr>
        <w:t xml:space="preserve"> la</w:t>
      </w:r>
      <w:r w:rsidR="002F78D5">
        <w:rPr>
          <w:rFonts w:cs="Arial"/>
          <w:sz w:val="26"/>
          <w:szCs w:val="26"/>
        </w:rPr>
        <w:t xml:space="preserve"> obligación para el Estado de asistir en todo tiempo a los pueblos indígenas y las personas que los componen con </w:t>
      </w:r>
      <w:r w:rsidR="005F7765">
        <w:rPr>
          <w:rFonts w:cs="Arial"/>
          <w:sz w:val="26"/>
          <w:szCs w:val="26"/>
        </w:rPr>
        <w:t>“</w:t>
      </w:r>
      <w:r w:rsidR="002F78D5" w:rsidRPr="0062406C">
        <w:rPr>
          <w:rFonts w:cs="Arial"/>
          <w:i/>
          <w:sz w:val="26"/>
          <w:szCs w:val="26"/>
        </w:rPr>
        <w:t>personas traductoras, intérpretes y defensoras</w:t>
      </w:r>
      <w:r w:rsidR="005F7765">
        <w:rPr>
          <w:rFonts w:cs="Arial"/>
          <w:sz w:val="26"/>
          <w:szCs w:val="26"/>
        </w:rPr>
        <w:t>”</w:t>
      </w:r>
      <w:r w:rsidR="002F78D5">
        <w:rPr>
          <w:rFonts w:cs="Arial"/>
          <w:sz w:val="26"/>
          <w:szCs w:val="26"/>
        </w:rPr>
        <w:t xml:space="preserve"> con dominio de su lengua, conocimiento de su</w:t>
      </w:r>
      <w:r w:rsidR="00B1059B">
        <w:rPr>
          <w:rFonts w:cs="Arial"/>
          <w:sz w:val="26"/>
          <w:szCs w:val="26"/>
        </w:rPr>
        <w:t xml:space="preserve"> cultura y del derecho indígena.</w:t>
      </w:r>
      <w:r w:rsidR="00207486">
        <w:rPr>
          <w:rFonts w:cs="Arial"/>
          <w:sz w:val="26"/>
          <w:szCs w:val="26"/>
        </w:rPr>
        <w:t xml:space="preserve"> </w:t>
      </w:r>
      <w:r w:rsidR="00B1059B">
        <w:rPr>
          <w:rFonts w:cs="Arial"/>
          <w:sz w:val="26"/>
          <w:szCs w:val="26"/>
        </w:rPr>
        <w:t>Por otro lado</w:t>
      </w:r>
      <w:r w:rsidR="00B9009F">
        <w:rPr>
          <w:rFonts w:cs="Arial"/>
          <w:sz w:val="26"/>
          <w:szCs w:val="26"/>
        </w:rPr>
        <w:t>,</w:t>
      </w:r>
      <w:r w:rsidR="00B1059B">
        <w:rPr>
          <w:rFonts w:cs="Arial"/>
          <w:sz w:val="26"/>
          <w:szCs w:val="26"/>
        </w:rPr>
        <w:t xml:space="preserve"> </w:t>
      </w:r>
      <w:r w:rsidR="00B9009F">
        <w:rPr>
          <w:rFonts w:cs="Arial"/>
          <w:sz w:val="26"/>
          <w:szCs w:val="26"/>
        </w:rPr>
        <w:t xml:space="preserve">se </w:t>
      </w:r>
      <w:r w:rsidR="004E36A6">
        <w:rPr>
          <w:rFonts w:cs="Arial"/>
          <w:sz w:val="26"/>
          <w:szCs w:val="26"/>
        </w:rPr>
        <w:t>agregó</w:t>
      </w:r>
      <w:r w:rsidR="002F78D5">
        <w:rPr>
          <w:rFonts w:cs="Arial"/>
          <w:sz w:val="26"/>
          <w:szCs w:val="26"/>
        </w:rPr>
        <w:t xml:space="preserve"> </w:t>
      </w:r>
      <w:r w:rsidR="004E36A6">
        <w:rPr>
          <w:rFonts w:cs="Arial"/>
          <w:sz w:val="26"/>
          <w:szCs w:val="26"/>
        </w:rPr>
        <w:t xml:space="preserve">al texto </w:t>
      </w:r>
      <w:r w:rsidR="00551D64">
        <w:rPr>
          <w:rFonts w:cs="Arial"/>
          <w:sz w:val="26"/>
          <w:szCs w:val="26"/>
        </w:rPr>
        <w:t xml:space="preserve">constitucional local </w:t>
      </w:r>
      <w:r w:rsidR="00262160">
        <w:rPr>
          <w:rFonts w:cs="Arial"/>
          <w:sz w:val="26"/>
          <w:szCs w:val="26"/>
        </w:rPr>
        <w:t>una</w:t>
      </w:r>
      <w:r w:rsidR="00462759">
        <w:rPr>
          <w:rFonts w:cs="Arial"/>
          <w:sz w:val="26"/>
          <w:szCs w:val="26"/>
        </w:rPr>
        <w:t xml:space="preserve"> precisión en el sentido de </w:t>
      </w:r>
      <w:r w:rsidR="0062406C">
        <w:rPr>
          <w:rFonts w:cs="Arial"/>
          <w:sz w:val="26"/>
          <w:szCs w:val="26"/>
        </w:rPr>
        <w:t xml:space="preserve">que para cumplir </w:t>
      </w:r>
      <w:r w:rsidR="00B9009F">
        <w:rPr>
          <w:rFonts w:cs="Arial"/>
          <w:sz w:val="26"/>
          <w:szCs w:val="26"/>
        </w:rPr>
        <w:t xml:space="preserve">con </w:t>
      </w:r>
      <w:r w:rsidR="0062406C">
        <w:rPr>
          <w:rFonts w:cs="Arial"/>
          <w:sz w:val="26"/>
          <w:szCs w:val="26"/>
        </w:rPr>
        <w:t>e</w:t>
      </w:r>
      <w:r w:rsidR="004E36A6">
        <w:rPr>
          <w:rFonts w:cs="Arial"/>
          <w:sz w:val="26"/>
          <w:szCs w:val="26"/>
        </w:rPr>
        <w:t>s</w:t>
      </w:r>
      <w:r w:rsidR="00262160">
        <w:rPr>
          <w:rFonts w:cs="Arial"/>
          <w:sz w:val="26"/>
          <w:szCs w:val="26"/>
        </w:rPr>
        <w:t>t</w:t>
      </w:r>
      <w:r w:rsidR="0062406C">
        <w:rPr>
          <w:rFonts w:cs="Arial"/>
          <w:sz w:val="26"/>
          <w:szCs w:val="26"/>
        </w:rPr>
        <w:t>a obligación</w:t>
      </w:r>
      <w:r w:rsidR="002F78D5" w:rsidRPr="0062406C">
        <w:rPr>
          <w:rFonts w:cs="Arial"/>
          <w:sz w:val="26"/>
          <w:szCs w:val="26"/>
        </w:rPr>
        <w:t xml:space="preserve"> </w:t>
      </w:r>
      <w:r w:rsidR="0062406C">
        <w:rPr>
          <w:rFonts w:cs="Arial"/>
          <w:sz w:val="26"/>
          <w:szCs w:val="26"/>
        </w:rPr>
        <w:t>“</w:t>
      </w:r>
      <w:r w:rsidR="006A108E">
        <w:rPr>
          <w:rFonts w:cs="Arial"/>
          <w:sz w:val="26"/>
          <w:szCs w:val="26"/>
        </w:rPr>
        <w:t>[</w:t>
      </w:r>
      <w:r w:rsidR="006A108E">
        <w:rPr>
          <w:rFonts w:cs="Arial"/>
          <w:i/>
          <w:sz w:val="26"/>
          <w:szCs w:val="26"/>
        </w:rPr>
        <w:t>se establecerán]</w:t>
      </w:r>
      <w:r w:rsidR="002F78D5" w:rsidRPr="0062406C">
        <w:rPr>
          <w:rFonts w:cs="Arial"/>
          <w:i/>
          <w:sz w:val="26"/>
          <w:szCs w:val="26"/>
        </w:rPr>
        <w:t xml:space="preserve"> las instancias especializadas correspondientes</w:t>
      </w:r>
      <w:r w:rsidR="0062406C">
        <w:rPr>
          <w:rFonts w:cs="Arial"/>
          <w:sz w:val="26"/>
          <w:szCs w:val="26"/>
        </w:rPr>
        <w:t>”</w:t>
      </w:r>
      <w:r w:rsidR="006A108E" w:rsidRPr="00894B94">
        <w:rPr>
          <w:rStyle w:val="Refdenotaalpie"/>
          <w:rFonts w:cs="Arial"/>
          <w:sz w:val="26"/>
          <w:szCs w:val="26"/>
        </w:rPr>
        <w:footnoteReference w:id="25"/>
      </w:r>
      <w:r w:rsidR="002F78D5" w:rsidRPr="0062406C">
        <w:rPr>
          <w:rFonts w:cs="Arial"/>
          <w:sz w:val="26"/>
          <w:szCs w:val="26"/>
        </w:rPr>
        <w:t>.</w:t>
      </w:r>
    </w:p>
    <w:p w:rsidR="00D05DC4" w:rsidRDefault="0048166A" w:rsidP="0058530F">
      <w:pPr>
        <w:pStyle w:val="corte4fondo"/>
        <w:numPr>
          <w:ilvl w:val="1"/>
          <w:numId w:val="1"/>
        </w:numPr>
        <w:tabs>
          <w:tab w:val="left" w:pos="0"/>
        </w:tabs>
        <w:spacing w:after="360" w:line="360" w:lineRule="auto"/>
        <w:ind w:left="851"/>
        <w:rPr>
          <w:rFonts w:cs="Arial"/>
          <w:sz w:val="26"/>
          <w:szCs w:val="26"/>
        </w:rPr>
      </w:pPr>
      <w:bookmarkStart w:id="2" w:name="_Hlk51186718"/>
      <w:r w:rsidRPr="001D7F75">
        <w:rPr>
          <w:rFonts w:cs="Arial"/>
          <w:sz w:val="26"/>
          <w:szCs w:val="26"/>
        </w:rPr>
        <w:t xml:space="preserve">El </w:t>
      </w:r>
      <w:r w:rsidRPr="004F0020">
        <w:rPr>
          <w:rFonts w:cs="Arial"/>
          <w:b/>
          <w:sz w:val="26"/>
          <w:szCs w:val="26"/>
        </w:rPr>
        <w:t>Decreto N</w:t>
      </w:r>
      <w:r w:rsidR="003644E3" w:rsidRPr="004F0020">
        <w:rPr>
          <w:rFonts w:cs="Arial"/>
          <w:b/>
          <w:sz w:val="26"/>
          <w:szCs w:val="26"/>
        </w:rPr>
        <w:t>°</w:t>
      </w:r>
      <w:r w:rsidRPr="004F0020">
        <w:rPr>
          <w:rFonts w:cs="Arial"/>
          <w:b/>
          <w:sz w:val="26"/>
          <w:szCs w:val="26"/>
        </w:rPr>
        <w:t xml:space="preserve"> LXVI/RFLEY/0513/2019 I P.O.</w:t>
      </w:r>
      <w:r w:rsidR="004D3CCA" w:rsidRPr="00894B94">
        <w:rPr>
          <w:rStyle w:val="Refdenotaalpie"/>
          <w:rFonts w:cs="Arial"/>
          <w:sz w:val="26"/>
          <w:szCs w:val="26"/>
        </w:rPr>
        <w:footnoteReference w:id="26"/>
      </w:r>
      <w:r w:rsidR="00406094">
        <w:rPr>
          <w:rFonts w:cs="Arial"/>
          <w:sz w:val="26"/>
          <w:szCs w:val="26"/>
        </w:rPr>
        <w:t xml:space="preserve"> modificó </w:t>
      </w:r>
      <w:r w:rsidR="00BE3BA2">
        <w:rPr>
          <w:rFonts w:cs="Arial"/>
          <w:sz w:val="26"/>
          <w:szCs w:val="26"/>
        </w:rPr>
        <w:t>cuatro</w:t>
      </w:r>
      <w:r w:rsidR="00406094">
        <w:rPr>
          <w:rFonts w:cs="Arial"/>
          <w:sz w:val="26"/>
          <w:szCs w:val="26"/>
        </w:rPr>
        <w:t xml:space="preserve"> ordenamientos legales</w:t>
      </w:r>
      <w:r w:rsidR="00BE3BA2">
        <w:rPr>
          <w:rFonts w:cs="Arial"/>
          <w:sz w:val="26"/>
          <w:szCs w:val="26"/>
        </w:rPr>
        <w:t xml:space="preserve"> distintos</w:t>
      </w:r>
      <w:r w:rsidR="00D05DC4">
        <w:rPr>
          <w:rFonts w:cs="Arial"/>
          <w:sz w:val="26"/>
          <w:szCs w:val="26"/>
        </w:rPr>
        <w:t>:</w:t>
      </w:r>
    </w:p>
    <w:p w:rsidR="00D05DC4" w:rsidRDefault="00BE3BA2" w:rsidP="0058530F">
      <w:pPr>
        <w:pStyle w:val="corte4fondo"/>
        <w:numPr>
          <w:ilvl w:val="2"/>
          <w:numId w:val="1"/>
        </w:numPr>
        <w:tabs>
          <w:tab w:val="left" w:pos="0"/>
        </w:tabs>
        <w:spacing w:after="360" w:line="360" w:lineRule="auto"/>
        <w:ind w:left="1134"/>
        <w:rPr>
          <w:rFonts w:cs="Arial"/>
          <w:sz w:val="26"/>
          <w:szCs w:val="26"/>
        </w:rPr>
      </w:pPr>
      <w:r>
        <w:rPr>
          <w:rFonts w:cs="Arial"/>
          <w:sz w:val="26"/>
          <w:szCs w:val="26"/>
        </w:rPr>
        <w:t>En primer lugar</w:t>
      </w:r>
      <w:r w:rsidR="00406094">
        <w:rPr>
          <w:rFonts w:cs="Arial"/>
          <w:sz w:val="26"/>
          <w:szCs w:val="26"/>
        </w:rPr>
        <w:t>,</w:t>
      </w:r>
      <w:bookmarkEnd w:id="2"/>
      <w:r>
        <w:rPr>
          <w:rFonts w:cs="Arial"/>
          <w:sz w:val="26"/>
          <w:szCs w:val="26"/>
        </w:rPr>
        <w:t xml:space="preserve"> </w:t>
      </w:r>
      <w:r w:rsidR="001B2F43">
        <w:rPr>
          <w:rFonts w:cs="Arial"/>
          <w:sz w:val="26"/>
          <w:szCs w:val="26"/>
        </w:rPr>
        <w:t>e</w:t>
      </w:r>
      <w:r w:rsidR="00153086">
        <w:rPr>
          <w:rFonts w:cs="Arial"/>
          <w:sz w:val="26"/>
          <w:szCs w:val="26"/>
        </w:rPr>
        <w:t>ste</w:t>
      </w:r>
      <w:r w:rsidR="001B2F43">
        <w:rPr>
          <w:rFonts w:cs="Arial"/>
          <w:sz w:val="26"/>
          <w:szCs w:val="26"/>
        </w:rPr>
        <w:t xml:space="preserve"> instrumento </w:t>
      </w:r>
      <w:r w:rsidR="00AB1B91">
        <w:rPr>
          <w:rFonts w:cs="Arial"/>
          <w:sz w:val="26"/>
          <w:szCs w:val="26"/>
        </w:rPr>
        <w:t>adicionó un segundo párrafo</w:t>
      </w:r>
      <w:r w:rsidR="0048166A" w:rsidRPr="001D7F75">
        <w:rPr>
          <w:rFonts w:cs="Arial"/>
          <w:sz w:val="26"/>
          <w:szCs w:val="26"/>
        </w:rPr>
        <w:t xml:space="preserve"> </w:t>
      </w:r>
      <w:r w:rsidR="00AB1B91">
        <w:rPr>
          <w:rFonts w:cs="Arial"/>
          <w:sz w:val="26"/>
          <w:szCs w:val="26"/>
        </w:rPr>
        <w:t>al artículo</w:t>
      </w:r>
      <w:r w:rsidR="0048166A" w:rsidRPr="001D7F75">
        <w:rPr>
          <w:rFonts w:cs="Arial"/>
          <w:sz w:val="26"/>
          <w:szCs w:val="26"/>
        </w:rPr>
        <w:t xml:space="preserve"> 35 y</w:t>
      </w:r>
      <w:r w:rsidR="00AB1B91">
        <w:rPr>
          <w:rFonts w:cs="Arial"/>
          <w:sz w:val="26"/>
          <w:szCs w:val="26"/>
        </w:rPr>
        <w:t xml:space="preserve"> reformó la fracción XI del artículo</w:t>
      </w:r>
      <w:r w:rsidR="0048166A" w:rsidRPr="001D7F75">
        <w:rPr>
          <w:rFonts w:cs="Arial"/>
          <w:sz w:val="26"/>
          <w:szCs w:val="26"/>
        </w:rPr>
        <w:t xml:space="preserve"> 35 </w:t>
      </w:r>
      <w:r w:rsidRPr="001D7F75">
        <w:rPr>
          <w:rFonts w:cs="Arial"/>
          <w:sz w:val="26"/>
          <w:szCs w:val="26"/>
        </w:rPr>
        <w:t>Quáter</w:t>
      </w:r>
      <w:r w:rsidR="00D05DC4">
        <w:rPr>
          <w:rFonts w:cs="Arial"/>
          <w:sz w:val="26"/>
          <w:szCs w:val="26"/>
        </w:rPr>
        <w:t>, a</w:t>
      </w:r>
      <w:r w:rsidR="005E441B">
        <w:rPr>
          <w:rFonts w:cs="Arial"/>
          <w:sz w:val="26"/>
          <w:szCs w:val="26"/>
        </w:rPr>
        <w:t>mbo</w:t>
      </w:r>
      <w:r w:rsidR="00D05DC4">
        <w:rPr>
          <w:rFonts w:cs="Arial"/>
          <w:sz w:val="26"/>
          <w:szCs w:val="26"/>
        </w:rPr>
        <w:t>s</w:t>
      </w:r>
      <w:r w:rsidR="00D05DC4" w:rsidRPr="001B2F43">
        <w:rPr>
          <w:rFonts w:cs="Arial"/>
          <w:sz w:val="26"/>
          <w:szCs w:val="26"/>
        </w:rPr>
        <w:t xml:space="preserve"> </w:t>
      </w:r>
      <w:r w:rsidR="00D05DC4" w:rsidRPr="001D7F75">
        <w:rPr>
          <w:rFonts w:cs="Arial"/>
          <w:sz w:val="26"/>
          <w:szCs w:val="26"/>
        </w:rPr>
        <w:t>de la Ley Orgánica del Poder Ejecutivo</w:t>
      </w:r>
      <w:r w:rsidR="00D05DC4">
        <w:rPr>
          <w:rFonts w:cs="Arial"/>
          <w:sz w:val="26"/>
          <w:szCs w:val="26"/>
        </w:rPr>
        <w:t xml:space="preserve"> de</w:t>
      </w:r>
      <w:r w:rsidR="0013484A">
        <w:rPr>
          <w:rFonts w:cs="Arial"/>
          <w:sz w:val="26"/>
          <w:szCs w:val="26"/>
        </w:rPr>
        <w:t>l Estado de</w:t>
      </w:r>
      <w:r w:rsidR="00D05DC4">
        <w:rPr>
          <w:rFonts w:cs="Arial"/>
          <w:sz w:val="26"/>
          <w:szCs w:val="26"/>
        </w:rPr>
        <w:t xml:space="preserve"> Chihuahua</w:t>
      </w:r>
      <w:r w:rsidR="0081767A" w:rsidRPr="00894B94">
        <w:rPr>
          <w:rStyle w:val="Refdenotaalpie"/>
          <w:rFonts w:cs="Arial"/>
          <w:sz w:val="26"/>
          <w:szCs w:val="26"/>
        </w:rPr>
        <w:footnoteReference w:id="27"/>
      </w:r>
      <w:r>
        <w:rPr>
          <w:rFonts w:cs="Arial"/>
          <w:sz w:val="26"/>
          <w:szCs w:val="26"/>
        </w:rPr>
        <w:t xml:space="preserve">. </w:t>
      </w:r>
      <w:r w:rsidR="008E1F1D">
        <w:rPr>
          <w:rFonts w:cs="Arial"/>
          <w:sz w:val="26"/>
          <w:szCs w:val="26"/>
        </w:rPr>
        <w:t xml:space="preserve">Se </w:t>
      </w:r>
      <w:r w:rsidR="00153086">
        <w:rPr>
          <w:rFonts w:cs="Arial"/>
          <w:sz w:val="26"/>
          <w:szCs w:val="26"/>
        </w:rPr>
        <w:t>introdujo</w:t>
      </w:r>
      <w:r w:rsidR="008E1F1D">
        <w:rPr>
          <w:rFonts w:cs="Arial"/>
          <w:sz w:val="26"/>
          <w:szCs w:val="26"/>
        </w:rPr>
        <w:t>, por una parte,</w:t>
      </w:r>
      <w:r>
        <w:rPr>
          <w:rFonts w:cs="Arial"/>
          <w:sz w:val="26"/>
          <w:szCs w:val="26"/>
        </w:rPr>
        <w:t xml:space="preserve"> </w:t>
      </w:r>
      <w:r w:rsidR="00BC2361">
        <w:rPr>
          <w:rFonts w:cs="Arial"/>
          <w:sz w:val="26"/>
          <w:szCs w:val="26"/>
        </w:rPr>
        <w:t>una nueva obligación para la Fiscalía General del Estado</w:t>
      </w:r>
      <w:r w:rsidR="008E1F1D">
        <w:rPr>
          <w:rFonts w:cs="Arial"/>
          <w:sz w:val="26"/>
          <w:szCs w:val="26"/>
        </w:rPr>
        <w:t xml:space="preserve"> </w:t>
      </w:r>
      <w:r w:rsidR="00BC2361">
        <w:rPr>
          <w:rFonts w:cs="Arial"/>
          <w:sz w:val="26"/>
          <w:szCs w:val="26"/>
        </w:rPr>
        <w:t>a fin de</w:t>
      </w:r>
      <w:r>
        <w:rPr>
          <w:rFonts w:cs="Arial"/>
          <w:sz w:val="26"/>
          <w:szCs w:val="26"/>
        </w:rPr>
        <w:t xml:space="preserve"> dar cumplimiento al </w:t>
      </w:r>
      <w:r>
        <w:rPr>
          <w:rFonts w:cs="Arial"/>
          <w:sz w:val="26"/>
          <w:szCs w:val="26"/>
        </w:rPr>
        <w:lastRenderedPageBreak/>
        <w:t>derecho de acceso a la justicia de las personas, pueblos y comunidades ind</w:t>
      </w:r>
      <w:r w:rsidR="00BC2361">
        <w:rPr>
          <w:rFonts w:cs="Arial"/>
          <w:sz w:val="26"/>
          <w:szCs w:val="26"/>
        </w:rPr>
        <w:t xml:space="preserve">ígenas. </w:t>
      </w:r>
      <w:r w:rsidR="00FF0B3D">
        <w:rPr>
          <w:rFonts w:cs="Arial"/>
          <w:sz w:val="26"/>
          <w:szCs w:val="26"/>
        </w:rPr>
        <w:t>Concretamente, l</w:t>
      </w:r>
      <w:r w:rsidR="00A52F78">
        <w:rPr>
          <w:rFonts w:cs="Arial"/>
          <w:sz w:val="26"/>
          <w:szCs w:val="26"/>
        </w:rPr>
        <w:t>a Fiscalía ahora deb</w:t>
      </w:r>
      <w:r w:rsidR="00F44213">
        <w:rPr>
          <w:rFonts w:cs="Arial"/>
          <w:sz w:val="26"/>
          <w:szCs w:val="26"/>
        </w:rPr>
        <w:t>e</w:t>
      </w:r>
      <w:r w:rsidR="00BC2361">
        <w:rPr>
          <w:rFonts w:cs="Arial"/>
          <w:sz w:val="26"/>
          <w:szCs w:val="26"/>
        </w:rPr>
        <w:t xml:space="preserve"> </w:t>
      </w:r>
      <w:r w:rsidR="00173844">
        <w:rPr>
          <w:rFonts w:cs="Arial"/>
          <w:sz w:val="26"/>
          <w:szCs w:val="26"/>
        </w:rPr>
        <w:t>garantizar que aquéllo</w:t>
      </w:r>
      <w:r w:rsidR="00D05DC4">
        <w:rPr>
          <w:rFonts w:cs="Arial"/>
          <w:sz w:val="26"/>
          <w:szCs w:val="26"/>
        </w:rPr>
        <w:t>s c</w:t>
      </w:r>
      <w:r w:rsidR="008E1F1D">
        <w:rPr>
          <w:rFonts w:cs="Arial"/>
          <w:sz w:val="26"/>
          <w:szCs w:val="26"/>
        </w:rPr>
        <w:t>uenten</w:t>
      </w:r>
      <w:r w:rsidR="00D05DC4">
        <w:rPr>
          <w:rFonts w:cs="Arial"/>
          <w:sz w:val="26"/>
          <w:szCs w:val="26"/>
        </w:rPr>
        <w:t xml:space="preserve"> con la asistencia de personas traductoras e intérpretes, debidamente certificadas, en toda actuación que les involucre, estableciendo para ello las previsiones necesarias y, de resultar indispensable, la celebración de convenios de colaboración o coordinación con las instituciones competentes</w:t>
      </w:r>
      <w:r w:rsidR="00FF0B3D">
        <w:rPr>
          <w:rFonts w:cs="Arial"/>
          <w:sz w:val="26"/>
          <w:szCs w:val="26"/>
        </w:rPr>
        <w:t xml:space="preserve"> (art. 35)</w:t>
      </w:r>
      <w:r>
        <w:rPr>
          <w:rFonts w:cs="Arial"/>
          <w:sz w:val="26"/>
          <w:szCs w:val="26"/>
        </w:rPr>
        <w:t>.</w:t>
      </w:r>
      <w:r w:rsidR="00D05DC4">
        <w:rPr>
          <w:rFonts w:cs="Arial"/>
          <w:sz w:val="26"/>
          <w:szCs w:val="26"/>
        </w:rPr>
        <w:t xml:space="preserve"> P</w:t>
      </w:r>
      <w:r w:rsidR="008E1F1D">
        <w:rPr>
          <w:rFonts w:cs="Arial"/>
          <w:sz w:val="26"/>
          <w:szCs w:val="26"/>
        </w:rPr>
        <w:t>or otra parte, se</w:t>
      </w:r>
      <w:r w:rsidR="00D05DC4">
        <w:rPr>
          <w:rFonts w:cs="Arial"/>
          <w:sz w:val="26"/>
          <w:szCs w:val="26"/>
        </w:rPr>
        <w:t xml:space="preserve"> </w:t>
      </w:r>
      <w:r w:rsidR="00BC2361">
        <w:rPr>
          <w:rFonts w:cs="Arial"/>
          <w:sz w:val="26"/>
          <w:szCs w:val="26"/>
        </w:rPr>
        <w:t>incrementaron las atribuciones</w:t>
      </w:r>
      <w:r w:rsidR="00153086">
        <w:rPr>
          <w:rFonts w:cs="Arial"/>
          <w:sz w:val="26"/>
          <w:szCs w:val="26"/>
        </w:rPr>
        <w:t xml:space="preserve"> legales</w:t>
      </w:r>
      <w:r w:rsidR="00BC2361">
        <w:rPr>
          <w:rFonts w:cs="Arial"/>
          <w:sz w:val="26"/>
          <w:szCs w:val="26"/>
        </w:rPr>
        <w:t xml:space="preserve"> de</w:t>
      </w:r>
      <w:r w:rsidR="008E1F1D">
        <w:rPr>
          <w:rFonts w:cs="Arial"/>
          <w:sz w:val="26"/>
          <w:szCs w:val="26"/>
        </w:rPr>
        <w:t xml:space="preserve"> la Comisión</w:t>
      </w:r>
      <w:r w:rsidR="00D05DC4">
        <w:rPr>
          <w:rFonts w:cs="Arial"/>
          <w:sz w:val="26"/>
          <w:szCs w:val="26"/>
        </w:rPr>
        <w:t xml:space="preserve"> </w:t>
      </w:r>
      <w:r w:rsidR="008E1F1D">
        <w:rPr>
          <w:rFonts w:cs="Arial"/>
          <w:sz w:val="26"/>
          <w:szCs w:val="26"/>
        </w:rPr>
        <w:t>Estatal de los Pueblos Indígenas</w:t>
      </w:r>
      <w:r w:rsidR="00910FC8">
        <w:rPr>
          <w:rFonts w:cs="Arial"/>
          <w:sz w:val="26"/>
          <w:szCs w:val="26"/>
        </w:rPr>
        <w:t xml:space="preserve"> para celebrar convenios en materia de capacitación en materia de derechos y cultura de los pueblos y comunidades indígenas.</w:t>
      </w:r>
      <w:r w:rsidR="008E1F1D">
        <w:rPr>
          <w:rFonts w:cs="Arial"/>
          <w:sz w:val="26"/>
          <w:szCs w:val="26"/>
        </w:rPr>
        <w:t xml:space="preserve"> </w:t>
      </w:r>
      <w:r w:rsidR="00910FC8">
        <w:rPr>
          <w:rFonts w:cs="Arial"/>
          <w:sz w:val="26"/>
          <w:szCs w:val="26"/>
        </w:rPr>
        <w:t xml:space="preserve">Mientras que ahora </w:t>
      </w:r>
      <w:r w:rsidR="00E47147">
        <w:rPr>
          <w:rFonts w:cs="Arial"/>
          <w:sz w:val="26"/>
          <w:szCs w:val="26"/>
        </w:rPr>
        <w:t xml:space="preserve">también </w:t>
      </w:r>
      <w:r w:rsidR="00910FC8">
        <w:rPr>
          <w:rFonts w:cs="Arial"/>
          <w:sz w:val="26"/>
          <w:szCs w:val="26"/>
        </w:rPr>
        <w:t>se</w:t>
      </w:r>
      <w:r w:rsidR="00E47147">
        <w:rPr>
          <w:rFonts w:cs="Arial"/>
          <w:sz w:val="26"/>
          <w:szCs w:val="26"/>
        </w:rPr>
        <w:t xml:space="preserve"> </w:t>
      </w:r>
      <w:r w:rsidR="00A52F78">
        <w:rPr>
          <w:rFonts w:cs="Arial"/>
          <w:sz w:val="26"/>
          <w:szCs w:val="26"/>
        </w:rPr>
        <w:t>inclu</w:t>
      </w:r>
      <w:r w:rsidR="00F44213">
        <w:rPr>
          <w:rFonts w:cs="Arial"/>
          <w:sz w:val="26"/>
          <w:szCs w:val="26"/>
        </w:rPr>
        <w:t>ye</w:t>
      </w:r>
      <w:r w:rsidR="00910FC8">
        <w:rPr>
          <w:rFonts w:cs="Arial"/>
          <w:sz w:val="26"/>
          <w:szCs w:val="26"/>
        </w:rPr>
        <w:t>n el Poder Judicial</w:t>
      </w:r>
      <w:r w:rsidR="00AB6EC8">
        <w:rPr>
          <w:rFonts w:cs="Arial"/>
          <w:sz w:val="26"/>
          <w:szCs w:val="26"/>
        </w:rPr>
        <w:t xml:space="preserve"> de la Federación</w:t>
      </w:r>
      <w:r w:rsidR="00910FC8">
        <w:rPr>
          <w:rFonts w:cs="Arial"/>
          <w:sz w:val="26"/>
          <w:szCs w:val="26"/>
        </w:rPr>
        <w:t xml:space="preserve"> y el Consejo de la Judicatura del Estado</w:t>
      </w:r>
      <w:r w:rsidR="0057692A" w:rsidRPr="0057692A">
        <w:rPr>
          <w:rFonts w:cs="Arial"/>
          <w:sz w:val="26"/>
          <w:szCs w:val="26"/>
        </w:rPr>
        <w:t xml:space="preserve"> </w:t>
      </w:r>
      <w:r w:rsidR="0057692A">
        <w:rPr>
          <w:rFonts w:cs="Arial"/>
          <w:sz w:val="26"/>
          <w:szCs w:val="26"/>
        </w:rPr>
        <w:t>como posibles contrapartes de tales convenios</w:t>
      </w:r>
      <w:r w:rsidR="00AB6EC8">
        <w:rPr>
          <w:rFonts w:cs="Arial"/>
          <w:sz w:val="26"/>
          <w:szCs w:val="26"/>
        </w:rPr>
        <w:t>,</w:t>
      </w:r>
      <w:r w:rsidR="00910FC8">
        <w:rPr>
          <w:rFonts w:cs="Arial"/>
          <w:sz w:val="26"/>
          <w:szCs w:val="26"/>
        </w:rPr>
        <w:t xml:space="preserve"> pues anteriormente </w:t>
      </w:r>
      <w:r w:rsidR="00C86391">
        <w:rPr>
          <w:rFonts w:cs="Arial"/>
          <w:sz w:val="26"/>
          <w:szCs w:val="26"/>
        </w:rPr>
        <w:t>sólo</w:t>
      </w:r>
      <w:r w:rsidR="00910FC8">
        <w:rPr>
          <w:rFonts w:cs="Arial"/>
          <w:sz w:val="26"/>
          <w:szCs w:val="26"/>
        </w:rPr>
        <w:t xml:space="preserve"> se </w:t>
      </w:r>
      <w:r w:rsidR="00FF0B3D">
        <w:rPr>
          <w:rFonts w:cs="Arial"/>
          <w:sz w:val="26"/>
          <w:szCs w:val="26"/>
        </w:rPr>
        <w:t>m</w:t>
      </w:r>
      <w:r w:rsidR="00401871">
        <w:rPr>
          <w:rFonts w:cs="Arial"/>
          <w:sz w:val="26"/>
          <w:szCs w:val="26"/>
        </w:rPr>
        <w:t>encionaba a</w:t>
      </w:r>
      <w:r w:rsidR="00910FC8">
        <w:rPr>
          <w:rFonts w:cs="Arial"/>
          <w:sz w:val="26"/>
          <w:szCs w:val="26"/>
        </w:rPr>
        <w:t>l Poder Judicial del E</w:t>
      </w:r>
      <w:r w:rsidR="00401871">
        <w:rPr>
          <w:rFonts w:cs="Arial"/>
          <w:sz w:val="26"/>
          <w:szCs w:val="26"/>
        </w:rPr>
        <w:t>stado y a</w:t>
      </w:r>
      <w:r w:rsidR="00910FC8">
        <w:rPr>
          <w:rFonts w:cs="Arial"/>
          <w:sz w:val="26"/>
          <w:szCs w:val="26"/>
        </w:rPr>
        <w:t>l Consejo de la Judicatura Federal, los</w:t>
      </w:r>
      <w:r w:rsidR="00576536">
        <w:rPr>
          <w:rFonts w:cs="Arial"/>
          <w:sz w:val="26"/>
          <w:szCs w:val="26"/>
        </w:rPr>
        <w:t xml:space="preserve"> </w:t>
      </w:r>
      <w:r w:rsidR="00910FC8">
        <w:rPr>
          <w:rFonts w:cs="Arial"/>
          <w:sz w:val="26"/>
          <w:szCs w:val="26"/>
        </w:rPr>
        <w:t xml:space="preserve">destinatarios de la </w:t>
      </w:r>
      <w:r w:rsidR="00576536">
        <w:rPr>
          <w:rFonts w:cs="Arial"/>
          <w:sz w:val="26"/>
          <w:szCs w:val="26"/>
        </w:rPr>
        <w:t xml:space="preserve">capacitación </w:t>
      </w:r>
      <w:r w:rsidR="00401871">
        <w:rPr>
          <w:rFonts w:cs="Arial"/>
          <w:sz w:val="26"/>
          <w:szCs w:val="26"/>
        </w:rPr>
        <w:t xml:space="preserve">ya </w:t>
      </w:r>
      <w:r w:rsidR="00FF0B3D">
        <w:rPr>
          <w:rFonts w:cs="Arial"/>
          <w:sz w:val="26"/>
          <w:szCs w:val="26"/>
        </w:rPr>
        <w:t xml:space="preserve">no </w:t>
      </w:r>
      <w:r w:rsidR="00910FC8">
        <w:rPr>
          <w:rFonts w:cs="Arial"/>
          <w:sz w:val="26"/>
          <w:szCs w:val="26"/>
        </w:rPr>
        <w:t>s</w:t>
      </w:r>
      <w:r w:rsidR="00A52F78">
        <w:rPr>
          <w:rFonts w:cs="Arial"/>
          <w:sz w:val="26"/>
          <w:szCs w:val="26"/>
        </w:rPr>
        <w:t>er</w:t>
      </w:r>
      <w:r w:rsidR="00F44213">
        <w:rPr>
          <w:rFonts w:cs="Arial"/>
          <w:sz w:val="26"/>
          <w:szCs w:val="26"/>
        </w:rPr>
        <w:t>á</w:t>
      </w:r>
      <w:r w:rsidR="00910FC8">
        <w:rPr>
          <w:rFonts w:cs="Arial"/>
          <w:sz w:val="26"/>
          <w:szCs w:val="26"/>
        </w:rPr>
        <w:t>n</w:t>
      </w:r>
      <w:r w:rsidR="00A52F78">
        <w:rPr>
          <w:rFonts w:cs="Arial"/>
          <w:sz w:val="26"/>
          <w:szCs w:val="26"/>
        </w:rPr>
        <w:t xml:space="preserve"> </w:t>
      </w:r>
      <w:r w:rsidR="00FF0B3D">
        <w:rPr>
          <w:rFonts w:cs="Arial"/>
          <w:sz w:val="26"/>
          <w:szCs w:val="26"/>
        </w:rPr>
        <w:t>sólo</w:t>
      </w:r>
      <w:r w:rsidR="0057692A">
        <w:rPr>
          <w:rFonts w:cs="Arial"/>
          <w:sz w:val="26"/>
          <w:szCs w:val="26"/>
        </w:rPr>
        <w:t xml:space="preserve"> quienes form</w:t>
      </w:r>
      <w:r w:rsidR="00F44213">
        <w:rPr>
          <w:rFonts w:cs="Arial"/>
          <w:sz w:val="26"/>
          <w:szCs w:val="26"/>
        </w:rPr>
        <w:t>e</w:t>
      </w:r>
      <w:r w:rsidR="00576536">
        <w:rPr>
          <w:rFonts w:cs="Arial"/>
          <w:sz w:val="26"/>
          <w:szCs w:val="26"/>
        </w:rPr>
        <w:t>n parte de la Defensoría Pública</w:t>
      </w:r>
      <w:r w:rsidR="00FF0B3D">
        <w:rPr>
          <w:rFonts w:cs="Arial"/>
          <w:sz w:val="26"/>
          <w:szCs w:val="26"/>
        </w:rPr>
        <w:t>, sino también las personas traductoras e intérpretes qu</w:t>
      </w:r>
      <w:r w:rsidR="0057692A">
        <w:rPr>
          <w:rFonts w:cs="Arial"/>
          <w:sz w:val="26"/>
          <w:szCs w:val="26"/>
        </w:rPr>
        <w:t>e integr</w:t>
      </w:r>
      <w:r w:rsidR="00F44213">
        <w:rPr>
          <w:rFonts w:cs="Arial"/>
          <w:sz w:val="26"/>
          <w:szCs w:val="26"/>
        </w:rPr>
        <w:t>e</w:t>
      </w:r>
      <w:r w:rsidR="00FF0B3D">
        <w:rPr>
          <w:rFonts w:cs="Arial"/>
          <w:sz w:val="26"/>
          <w:szCs w:val="26"/>
        </w:rPr>
        <w:t>n la instancia especializada correspondiente (art. 35 Quáter, frac. XI)</w:t>
      </w:r>
      <w:r w:rsidR="00D05DC4">
        <w:rPr>
          <w:rFonts w:cs="Arial"/>
          <w:sz w:val="26"/>
          <w:szCs w:val="26"/>
        </w:rPr>
        <w:t>.</w:t>
      </w:r>
    </w:p>
    <w:p w:rsidR="00FF0B3D" w:rsidRDefault="00E47147" w:rsidP="0058530F">
      <w:pPr>
        <w:pStyle w:val="corte4fondo"/>
        <w:numPr>
          <w:ilvl w:val="2"/>
          <w:numId w:val="1"/>
        </w:numPr>
        <w:tabs>
          <w:tab w:val="left" w:pos="0"/>
        </w:tabs>
        <w:spacing w:after="360" w:line="360" w:lineRule="auto"/>
        <w:ind w:left="1134"/>
        <w:rPr>
          <w:rFonts w:cs="Arial"/>
          <w:sz w:val="26"/>
          <w:szCs w:val="26"/>
        </w:rPr>
      </w:pPr>
      <w:r>
        <w:rPr>
          <w:rFonts w:cs="Arial"/>
          <w:sz w:val="26"/>
          <w:szCs w:val="26"/>
        </w:rPr>
        <w:t>En segundo lugar, el decreto</w:t>
      </w:r>
      <w:r w:rsidR="001403B9">
        <w:rPr>
          <w:rFonts w:cs="Arial"/>
          <w:sz w:val="26"/>
          <w:szCs w:val="26"/>
        </w:rPr>
        <w:t xml:space="preserve"> impugnado</w:t>
      </w:r>
      <w:r>
        <w:rPr>
          <w:rFonts w:cs="Arial"/>
          <w:sz w:val="26"/>
          <w:szCs w:val="26"/>
        </w:rPr>
        <w:t xml:space="preserve"> adicionó una Sección Sexta </w:t>
      </w:r>
      <w:r w:rsidR="00432AF2" w:rsidRPr="001D7F75">
        <w:rPr>
          <w:rFonts w:cs="Arial"/>
          <w:sz w:val="26"/>
          <w:szCs w:val="26"/>
        </w:rPr>
        <w:t>a</w:t>
      </w:r>
      <w:r w:rsidR="00FD48B2">
        <w:rPr>
          <w:rFonts w:cs="Arial"/>
          <w:sz w:val="26"/>
          <w:szCs w:val="26"/>
        </w:rPr>
        <w:t>l Título Tercero, Capítulo Segundo, de</w:t>
      </w:r>
      <w:r w:rsidR="00432AF2" w:rsidRPr="001D7F75">
        <w:rPr>
          <w:rFonts w:cs="Arial"/>
          <w:sz w:val="26"/>
          <w:szCs w:val="26"/>
        </w:rPr>
        <w:t xml:space="preserve"> la Ley Orgánica del Poder Judicial</w:t>
      </w:r>
      <w:r w:rsidR="00432AF2">
        <w:rPr>
          <w:rFonts w:cs="Arial"/>
          <w:sz w:val="26"/>
          <w:szCs w:val="26"/>
        </w:rPr>
        <w:t xml:space="preserve"> del Estado de Chihuahua</w:t>
      </w:r>
      <w:r w:rsidR="00FD48B2">
        <w:rPr>
          <w:rFonts w:cs="Arial"/>
          <w:sz w:val="26"/>
          <w:szCs w:val="26"/>
        </w:rPr>
        <w:t xml:space="preserve"> </w:t>
      </w:r>
      <w:r w:rsidR="00432AF2">
        <w:rPr>
          <w:rFonts w:cs="Arial"/>
          <w:sz w:val="26"/>
          <w:szCs w:val="26"/>
        </w:rPr>
        <w:t xml:space="preserve">vigente </w:t>
      </w:r>
      <w:r w:rsidR="00AC6C5A">
        <w:rPr>
          <w:rFonts w:cs="Arial"/>
          <w:sz w:val="26"/>
          <w:szCs w:val="26"/>
        </w:rPr>
        <w:t>al momento de la aprobación d</w:t>
      </w:r>
      <w:r w:rsidR="001403B9">
        <w:rPr>
          <w:rFonts w:cs="Arial"/>
          <w:sz w:val="26"/>
          <w:szCs w:val="26"/>
        </w:rPr>
        <w:t>e este</w:t>
      </w:r>
      <w:r w:rsidR="00AC6C5A">
        <w:rPr>
          <w:rFonts w:cs="Arial"/>
          <w:sz w:val="26"/>
          <w:szCs w:val="26"/>
        </w:rPr>
        <w:t xml:space="preserve"> </w:t>
      </w:r>
      <w:r w:rsidR="001403B9">
        <w:rPr>
          <w:rFonts w:cs="Arial"/>
          <w:sz w:val="26"/>
          <w:szCs w:val="26"/>
        </w:rPr>
        <w:t>instrumento</w:t>
      </w:r>
      <w:r w:rsidR="00E56CD3">
        <w:rPr>
          <w:rFonts w:cs="Arial"/>
          <w:sz w:val="26"/>
          <w:szCs w:val="26"/>
        </w:rPr>
        <w:t xml:space="preserve"> por el Congreso Estatal</w:t>
      </w:r>
      <w:r w:rsidR="004E69E7" w:rsidRPr="00894B94">
        <w:rPr>
          <w:rStyle w:val="Refdenotaalpie"/>
          <w:rFonts w:cs="Arial"/>
          <w:sz w:val="26"/>
          <w:szCs w:val="26"/>
        </w:rPr>
        <w:footnoteReference w:id="28"/>
      </w:r>
      <w:r w:rsidR="00FD48B2">
        <w:rPr>
          <w:rFonts w:cs="Arial"/>
          <w:sz w:val="26"/>
          <w:szCs w:val="26"/>
        </w:rPr>
        <w:t>.</w:t>
      </w:r>
      <w:r>
        <w:rPr>
          <w:rFonts w:cs="Arial"/>
          <w:sz w:val="26"/>
          <w:szCs w:val="26"/>
        </w:rPr>
        <w:t xml:space="preserve"> </w:t>
      </w:r>
      <w:r w:rsidR="00805BA2">
        <w:rPr>
          <w:rFonts w:cs="Arial"/>
          <w:sz w:val="26"/>
          <w:szCs w:val="26"/>
        </w:rPr>
        <w:t>Dicha sección</w:t>
      </w:r>
      <w:r w:rsidR="00FD48B2">
        <w:rPr>
          <w:rFonts w:cs="Arial"/>
          <w:sz w:val="26"/>
          <w:szCs w:val="26"/>
        </w:rPr>
        <w:t xml:space="preserve"> </w:t>
      </w:r>
      <w:r w:rsidR="00AC6C5A">
        <w:rPr>
          <w:rFonts w:cs="Arial"/>
          <w:sz w:val="26"/>
          <w:szCs w:val="26"/>
        </w:rPr>
        <w:t>—</w:t>
      </w:r>
      <w:r w:rsidR="00805BA2">
        <w:rPr>
          <w:rFonts w:cs="Arial"/>
          <w:sz w:val="26"/>
          <w:szCs w:val="26"/>
        </w:rPr>
        <w:t>integrada por</w:t>
      </w:r>
      <w:r w:rsidRPr="001D7F75">
        <w:rPr>
          <w:rFonts w:cs="Arial"/>
          <w:sz w:val="26"/>
          <w:szCs w:val="26"/>
        </w:rPr>
        <w:t xml:space="preserve"> los artículos 151 Bis, 151 Ter y 151</w:t>
      </w:r>
      <w:r w:rsidR="00FD48B2">
        <w:rPr>
          <w:rFonts w:cs="Arial"/>
          <w:sz w:val="26"/>
          <w:szCs w:val="26"/>
        </w:rPr>
        <w:t xml:space="preserve"> Quáter</w:t>
      </w:r>
      <w:r w:rsidR="00805BA2">
        <w:rPr>
          <w:rFonts w:cs="Arial"/>
          <w:sz w:val="26"/>
          <w:szCs w:val="26"/>
        </w:rPr>
        <w:t xml:space="preserve"> de la ley</w:t>
      </w:r>
      <w:r w:rsidR="004D5B16" w:rsidRPr="00894B94">
        <w:rPr>
          <w:rStyle w:val="Refdenotaalpie"/>
          <w:rFonts w:cs="Arial"/>
          <w:sz w:val="26"/>
          <w:szCs w:val="26"/>
        </w:rPr>
        <w:footnoteReference w:id="29"/>
      </w:r>
      <w:r w:rsidR="00805BA2">
        <w:rPr>
          <w:rFonts w:cs="Arial"/>
          <w:sz w:val="26"/>
          <w:szCs w:val="26"/>
        </w:rPr>
        <w:t>— establec</w:t>
      </w:r>
      <w:r w:rsidR="00AA29EC">
        <w:rPr>
          <w:rFonts w:cs="Arial"/>
          <w:sz w:val="26"/>
          <w:szCs w:val="26"/>
        </w:rPr>
        <w:t>e</w:t>
      </w:r>
      <w:r w:rsidR="00805BA2">
        <w:rPr>
          <w:rFonts w:cs="Arial"/>
          <w:sz w:val="26"/>
          <w:szCs w:val="26"/>
        </w:rPr>
        <w:t xml:space="preserve"> un </w:t>
      </w:r>
      <w:r w:rsidR="00C664CD">
        <w:rPr>
          <w:rFonts w:cs="Arial"/>
          <w:sz w:val="26"/>
          <w:szCs w:val="26"/>
        </w:rPr>
        <w:t>“</w:t>
      </w:r>
      <w:r w:rsidR="00805BA2" w:rsidRPr="00AC6C5A">
        <w:rPr>
          <w:rFonts w:cs="Arial"/>
          <w:i/>
          <w:sz w:val="26"/>
          <w:szCs w:val="26"/>
        </w:rPr>
        <w:t xml:space="preserve">Centro de Personas </w:t>
      </w:r>
      <w:r w:rsidR="00805BA2" w:rsidRPr="00AC6C5A">
        <w:rPr>
          <w:rFonts w:cs="Arial"/>
          <w:i/>
          <w:sz w:val="26"/>
          <w:szCs w:val="26"/>
        </w:rPr>
        <w:lastRenderedPageBreak/>
        <w:t>Traductoras e Intérpretes</w:t>
      </w:r>
      <w:r w:rsidR="00C664CD">
        <w:rPr>
          <w:rFonts w:cs="Arial"/>
          <w:sz w:val="26"/>
          <w:szCs w:val="26"/>
        </w:rPr>
        <w:t>”</w:t>
      </w:r>
      <w:r w:rsidR="00805BA2">
        <w:rPr>
          <w:rFonts w:cs="Arial"/>
          <w:sz w:val="26"/>
          <w:szCs w:val="26"/>
        </w:rPr>
        <w:t xml:space="preserve"> como órgano auxiliar del Poder Judicial</w:t>
      </w:r>
      <w:r w:rsidR="00C664CD">
        <w:rPr>
          <w:rFonts w:cs="Arial"/>
          <w:sz w:val="26"/>
          <w:szCs w:val="26"/>
        </w:rPr>
        <w:t xml:space="preserve">, </w:t>
      </w:r>
      <w:r w:rsidR="00805BA2">
        <w:rPr>
          <w:rFonts w:cs="Arial"/>
          <w:sz w:val="26"/>
          <w:szCs w:val="26"/>
        </w:rPr>
        <w:t>con autonomía técnica y operativa para el cumplimiento de sus funciones y el desarrollo de sus actividades sustantivas</w:t>
      </w:r>
      <w:r w:rsidR="00C664CD">
        <w:rPr>
          <w:rFonts w:cs="Arial"/>
          <w:sz w:val="26"/>
          <w:szCs w:val="26"/>
        </w:rPr>
        <w:t xml:space="preserve">. </w:t>
      </w:r>
      <w:r w:rsidR="00AA29EC">
        <w:rPr>
          <w:rFonts w:cs="Arial"/>
          <w:sz w:val="26"/>
          <w:szCs w:val="26"/>
        </w:rPr>
        <w:t>Se dispone que e</w:t>
      </w:r>
      <w:r w:rsidR="00AC6C5A">
        <w:rPr>
          <w:rFonts w:cs="Arial"/>
          <w:sz w:val="26"/>
          <w:szCs w:val="26"/>
        </w:rPr>
        <w:t>l</w:t>
      </w:r>
      <w:r w:rsidR="00805BA2">
        <w:rPr>
          <w:rFonts w:cs="Arial"/>
          <w:sz w:val="26"/>
          <w:szCs w:val="26"/>
        </w:rPr>
        <w:t xml:space="preserve"> objetivo </w:t>
      </w:r>
      <w:r w:rsidR="00AC6C5A">
        <w:rPr>
          <w:rFonts w:cs="Arial"/>
          <w:sz w:val="26"/>
          <w:szCs w:val="26"/>
        </w:rPr>
        <w:t xml:space="preserve">del Centro </w:t>
      </w:r>
      <w:r w:rsidR="00AA29EC">
        <w:rPr>
          <w:rFonts w:cs="Arial"/>
          <w:sz w:val="26"/>
          <w:szCs w:val="26"/>
        </w:rPr>
        <w:t>es</w:t>
      </w:r>
      <w:r w:rsidR="00805BA2">
        <w:rPr>
          <w:rFonts w:cs="Arial"/>
          <w:sz w:val="26"/>
          <w:szCs w:val="26"/>
        </w:rPr>
        <w:t xml:space="preserve"> proveer lo necesario en materia de traducción e interpretación, a fin de que las instituciones de procuraci</w:t>
      </w:r>
      <w:r w:rsidR="00C664CD">
        <w:rPr>
          <w:rFonts w:cs="Arial"/>
          <w:sz w:val="26"/>
          <w:szCs w:val="26"/>
        </w:rPr>
        <w:t>ón,</w:t>
      </w:r>
      <w:r w:rsidR="00805BA2">
        <w:rPr>
          <w:rFonts w:cs="Arial"/>
          <w:sz w:val="26"/>
          <w:szCs w:val="26"/>
        </w:rPr>
        <w:t xml:space="preserve"> impartición</w:t>
      </w:r>
      <w:r w:rsidR="00C664CD">
        <w:rPr>
          <w:rFonts w:cs="Arial"/>
          <w:sz w:val="26"/>
          <w:szCs w:val="26"/>
        </w:rPr>
        <w:t xml:space="preserve"> y administración</w:t>
      </w:r>
      <w:r w:rsidR="00805BA2">
        <w:rPr>
          <w:rFonts w:cs="Arial"/>
          <w:sz w:val="26"/>
          <w:szCs w:val="26"/>
        </w:rPr>
        <w:t xml:space="preserve"> de justicia </w:t>
      </w:r>
      <w:r w:rsidR="00C664CD">
        <w:rPr>
          <w:rFonts w:cs="Arial"/>
          <w:sz w:val="26"/>
          <w:szCs w:val="26"/>
        </w:rPr>
        <w:t>pu</w:t>
      </w:r>
      <w:r w:rsidR="00AA29EC">
        <w:rPr>
          <w:rFonts w:cs="Arial"/>
          <w:sz w:val="26"/>
          <w:szCs w:val="26"/>
        </w:rPr>
        <w:t>ed</w:t>
      </w:r>
      <w:r w:rsidR="00C664CD">
        <w:rPr>
          <w:rFonts w:cs="Arial"/>
          <w:sz w:val="26"/>
          <w:szCs w:val="26"/>
        </w:rPr>
        <w:t>an garantizar el derecho de acceso a la justicia a las personas, pueblos y comunidades indígenas, así como apoyar a los poderes</w:t>
      </w:r>
      <w:r w:rsidR="007D1697">
        <w:rPr>
          <w:rFonts w:cs="Arial"/>
          <w:sz w:val="26"/>
          <w:szCs w:val="26"/>
        </w:rPr>
        <w:t xml:space="preserve"> estatales</w:t>
      </w:r>
      <w:r w:rsidR="00C664CD">
        <w:rPr>
          <w:rFonts w:cs="Arial"/>
          <w:sz w:val="26"/>
          <w:szCs w:val="26"/>
        </w:rPr>
        <w:t xml:space="preserve"> y demás autoridades de la entidad federativa </w:t>
      </w:r>
      <w:r w:rsidR="00D07D1C">
        <w:rPr>
          <w:rFonts w:cs="Arial"/>
          <w:sz w:val="26"/>
          <w:szCs w:val="26"/>
        </w:rPr>
        <w:t>a fin de</w:t>
      </w:r>
      <w:r w:rsidR="00C664CD">
        <w:rPr>
          <w:rFonts w:cs="Arial"/>
          <w:sz w:val="26"/>
          <w:szCs w:val="26"/>
        </w:rPr>
        <w:t xml:space="preserve"> que los actos cuya emisión t</w:t>
      </w:r>
      <w:r w:rsidR="00AA29EC">
        <w:rPr>
          <w:rFonts w:cs="Arial"/>
          <w:sz w:val="26"/>
          <w:szCs w:val="26"/>
        </w:rPr>
        <w:t>eng</w:t>
      </w:r>
      <w:r w:rsidR="00C664CD">
        <w:rPr>
          <w:rFonts w:cs="Arial"/>
          <w:sz w:val="26"/>
          <w:szCs w:val="26"/>
        </w:rPr>
        <w:t>a consecuencias jurídicas</w:t>
      </w:r>
      <w:r w:rsidR="00D07D1C">
        <w:rPr>
          <w:rFonts w:cs="Arial"/>
          <w:sz w:val="26"/>
          <w:szCs w:val="26"/>
        </w:rPr>
        <w:t xml:space="preserve"> para </w:t>
      </w:r>
      <w:r w:rsidR="007D1697">
        <w:rPr>
          <w:rFonts w:cs="Arial"/>
          <w:sz w:val="26"/>
          <w:szCs w:val="26"/>
        </w:rPr>
        <w:t>ellos</w:t>
      </w:r>
      <w:r w:rsidR="00C664CD">
        <w:rPr>
          <w:rFonts w:cs="Arial"/>
          <w:sz w:val="26"/>
          <w:szCs w:val="26"/>
        </w:rPr>
        <w:t xml:space="preserve"> se desarroll</w:t>
      </w:r>
      <w:r w:rsidR="00AA29EC">
        <w:rPr>
          <w:rFonts w:cs="Arial"/>
          <w:sz w:val="26"/>
          <w:szCs w:val="26"/>
        </w:rPr>
        <w:t>e</w:t>
      </w:r>
      <w:r w:rsidR="00C664CD">
        <w:rPr>
          <w:rFonts w:cs="Arial"/>
          <w:sz w:val="26"/>
          <w:szCs w:val="26"/>
        </w:rPr>
        <w:t xml:space="preserve">n </w:t>
      </w:r>
      <w:r w:rsidR="00D07D1C">
        <w:rPr>
          <w:rFonts w:cs="Arial"/>
          <w:sz w:val="26"/>
          <w:szCs w:val="26"/>
        </w:rPr>
        <w:t>con la asistencia de personas defensoras, traductoras o intérpretes debidamente certificadas</w:t>
      </w:r>
      <w:r w:rsidR="00C664CD">
        <w:rPr>
          <w:rFonts w:cs="Arial"/>
          <w:sz w:val="26"/>
          <w:szCs w:val="26"/>
        </w:rPr>
        <w:t xml:space="preserve"> (art. 151 Bis)</w:t>
      </w:r>
      <w:r w:rsidR="00D07D1C">
        <w:rPr>
          <w:rFonts w:cs="Arial"/>
          <w:sz w:val="26"/>
          <w:szCs w:val="26"/>
        </w:rPr>
        <w:t xml:space="preserve">. </w:t>
      </w:r>
      <w:r w:rsidR="00FC440C">
        <w:rPr>
          <w:rFonts w:cs="Arial"/>
          <w:sz w:val="26"/>
          <w:szCs w:val="26"/>
        </w:rPr>
        <w:t>También se dispone que e</w:t>
      </w:r>
      <w:r w:rsidR="00D07D1C">
        <w:rPr>
          <w:rFonts w:cs="Arial"/>
          <w:sz w:val="26"/>
          <w:szCs w:val="26"/>
        </w:rPr>
        <w:t>l Centro depend</w:t>
      </w:r>
      <w:r w:rsidR="00FC440C">
        <w:rPr>
          <w:rFonts w:cs="Arial"/>
          <w:sz w:val="26"/>
          <w:szCs w:val="26"/>
        </w:rPr>
        <w:t>erá</w:t>
      </w:r>
      <w:r w:rsidR="00D07D1C">
        <w:rPr>
          <w:rFonts w:cs="Arial"/>
          <w:sz w:val="26"/>
          <w:szCs w:val="26"/>
        </w:rPr>
        <w:t xml:space="preserve"> del Consejo de la Judicatura del Estado y </w:t>
      </w:r>
      <w:r w:rsidR="00FC440C">
        <w:rPr>
          <w:rFonts w:cs="Arial"/>
          <w:sz w:val="26"/>
          <w:szCs w:val="26"/>
        </w:rPr>
        <w:t xml:space="preserve">que </w:t>
      </w:r>
      <w:r w:rsidR="006C64CA">
        <w:rPr>
          <w:rFonts w:cs="Arial"/>
          <w:sz w:val="26"/>
          <w:szCs w:val="26"/>
        </w:rPr>
        <w:t xml:space="preserve">se </w:t>
      </w:r>
      <w:r w:rsidR="00FC440C">
        <w:rPr>
          <w:rFonts w:cs="Arial"/>
          <w:sz w:val="26"/>
          <w:szCs w:val="26"/>
        </w:rPr>
        <w:t xml:space="preserve">establecerán </w:t>
      </w:r>
      <w:r w:rsidR="00FE5151">
        <w:rPr>
          <w:rFonts w:cs="Arial"/>
          <w:sz w:val="26"/>
          <w:szCs w:val="26"/>
        </w:rPr>
        <w:t>centros regionales</w:t>
      </w:r>
      <w:r w:rsidR="00D07D1C">
        <w:rPr>
          <w:rFonts w:cs="Arial"/>
          <w:sz w:val="26"/>
          <w:szCs w:val="26"/>
        </w:rPr>
        <w:t xml:space="preserve"> en los distritos judiciales que lo requ</w:t>
      </w:r>
      <w:r w:rsidR="006C64CA">
        <w:rPr>
          <w:rFonts w:cs="Arial"/>
          <w:sz w:val="26"/>
          <w:szCs w:val="26"/>
        </w:rPr>
        <w:t>i</w:t>
      </w:r>
      <w:r w:rsidR="00FC440C">
        <w:rPr>
          <w:rFonts w:cs="Arial"/>
          <w:sz w:val="26"/>
          <w:szCs w:val="26"/>
        </w:rPr>
        <w:t>er</w:t>
      </w:r>
      <w:r w:rsidR="00D07D1C">
        <w:rPr>
          <w:rFonts w:cs="Arial"/>
          <w:sz w:val="26"/>
          <w:szCs w:val="26"/>
        </w:rPr>
        <w:t xml:space="preserve">an, previo cumplimiento del procedimiento </w:t>
      </w:r>
      <w:r w:rsidR="00517A45">
        <w:rPr>
          <w:rFonts w:cs="Arial"/>
          <w:sz w:val="26"/>
          <w:szCs w:val="26"/>
        </w:rPr>
        <w:t>previsto para tal efecto</w:t>
      </w:r>
      <w:r w:rsidR="00D07D1C">
        <w:rPr>
          <w:rFonts w:cs="Arial"/>
          <w:sz w:val="26"/>
          <w:szCs w:val="26"/>
        </w:rPr>
        <w:t xml:space="preserve"> </w:t>
      </w:r>
      <w:r w:rsidR="001403B9">
        <w:rPr>
          <w:rFonts w:cs="Arial"/>
          <w:sz w:val="26"/>
          <w:szCs w:val="26"/>
        </w:rPr>
        <w:t xml:space="preserve">en la ley </w:t>
      </w:r>
      <w:r w:rsidR="00D07D1C">
        <w:rPr>
          <w:rFonts w:cs="Arial"/>
          <w:sz w:val="26"/>
          <w:szCs w:val="26"/>
        </w:rPr>
        <w:t>(art. 151 Ter)</w:t>
      </w:r>
      <w:r w:rsidR="00805BA2">
        <w:rPr>
          <w:rFonts w:cs="Arial"/>
          <w:sz w:val="26"/>
          <w:szCs w:val="26"/>
        </w:rPr>
        <w:t>.</w:t>
      </w:r>
      <w:r w:rsidR="00D07D1C">
        <w:rPr>
          <w:rFonts w:cs="Arial"/>
          <w:sz w:val="26"/>
          <w:szCs w:val="26"/>
        </w:rPr>
        <w:t xml:space="preserve"> </w:t>
      </w:r>
      <w:r w:rsidR="00FC440C">
        <w:rPr>
          <w:rFonts w:cs="Arial"/>
          <w:sz w:val="26"/>
          <w:szCs w:val="26"/>
        </w:rPr>
        <w:t>Finalmente</w:t>
      </w:r>
      <w:r w:rsidR="00AC6C5A">
        <w:rPr>
          <w:rFonts w:cs="Arial"/>
          <w:sz w:val="26"/>
          <w:szCs w:val="26"/>
        </w:rPr>
        <w:t>,</w:t>
      </w:r>
      <w:r w:rsidR="006C64CA">
        <w:rPr>
          <w:rFonts w:cs="Arial"/>
          <w:sz w:val="26"/>
          <w:szCs w:val="26"/>
        </w:rPr>
        <w:t xml:space="preserve"> </w:t>
      </w:r>
      <w:r w:rsidR="00FC440C">
        <w:rPr>
          <w:rFonts w:cs="Arial"/>
          <w:sz w:val="26"/>
          <w:szCs w:val="26"/>
        </w:rPr>
        <w:t xml:space="preserve">se dispone que </w:t>
      </w:r>
      <w:r w:rsidR="006C64CA">
        <w:rPr>
          <w:rFonts w:cs="Arial"/>
          <w:sz w:val="26"/>
          <w:szCs w:val="26"/>
        </w:rPr>
        <w:t>el Centro ejer</w:t>
      </w:r>
      <w:r w:rsidR="00FC440C">
        <w:rPr>
          <w:rFonts w:cs="Arial"/>
          <w:sz w:val="26"/>
          <w:szCs w:val="26"/>
        </w:rPr>
        <w:t>cerá</w:t>
      </w:r>
      <w:r w:rsidR="00FE5151">
        <w:rPr>
          <w:rFonts w:cs="Arial"/>
          <w:sz w:val="26"/>
          <w:szCs w:val="26"/>
        </w:rPr>
        <w:t xml:space="preserve"> sus atribuciones a través de la estructura orgánica que</w:t>
      </w:r>
      <w:r w:rsidR="00FC440C" w:rsidRPr="00FC440C">
        <w:rPr>
          <w:rFonts w:cs="Arial"/>
          <w:sz w:val="26"/>
          <w:szCs w:val="26"/>
        </w:rPr>
        <w:t xml:space="preserve"> </w:t>
      </w:r>
      <w:r w:rsidR="00FC440C">
        <w:rPr>
          <w:rFonts w:cs="Arial"/>
          <w:sz w:val="26"/>
          <w:szCs w:val="26"/>
        </w:rPr>
        <w:t>determine</w:t>
      </w:r>
      <w:r w:rsidR="00FE5151">
        <w:rPr>
          <w:rFonts w:cs="Arial"/>
          <w:sz w:val="26"/>
          <w:szCs w:val="26"/>
        </w:rPr>
        <w:t xml:space="preserve"> </w:t>
      </w:r>
      <w:r w:rsidR="001403B9">
        <w:rPr>
          <w:rFonts w:cs="Arial"/>
          <w:sz w:val="26"/>
          <w:szCs w:val="26"/>
        </w:rPr>
        <w:t xml:space="preserve">el Consejo </w:t>
      </w:r>
      <w:r w:rsidR="00FE5151">
        <w:rPr>
          <w:rFonts w:cs="Arial"/>
          <w:sz w:val="26"/>
          <w:szCs w:val="26"/>
        </w:rPr>
        <w:t>y</w:t>
      </w:r>
      <w:r w:rsidR="00FC440C">
        <w:rPr>
          <w:rFonts w:cs="Arial"/>
          <w:sz w:val="26"/>
          <w:szCs w:val="26"/>
        </w:rPr>
        <w:t xml:space="preserve"> que</w:t>
      </w:r>
      <w:r w:rsidR="00FE5151">
        <w:rPr>
          <w:rFonts w:cs="Arial"/>
          <w:sz w:val="26"/>
          <w:szCs w:val="26"/>
        </w:rPr>
        <w:t xml:space="preserve"> conta</w:t>
      </w:r>
      <w:r w:rsidR="00FC440C">
        <w:rPr>
          <w:rFonts w:cs="Arial"/>
          <w:sz w:val="26"/>
          <w:szCs w:val="26"/>
        </w:rPr>
        <w:t>rá</w:t>
      </w:r>
      <w:r w:rsidR="00FE5151">
        <w:rPr>
          <w:rFonts w:cs="Arial"/>
          <w:sz w:val="26"/>
          <w:szCs w:val="26"/>
        </w:rPr>
        <w:t xml:space="preserve"> con el número necesario de personas traductoras e intérpretes que requiera cada distr</w:t>
      </w:r>
      <w:r w:rsidR="001403B9">
        <w:rPr>
          <w:rFonts w:cs="Arial"/>
          <w:sz w:val="26"/>
          <w:szCs w:val="26"/>
        </w:rPr>
        <w:t>ito judicial (art. 151 Quáter).</w:t>
      </w:r>
    </w:p>
    <w:p w:rsidR="00FF0B3D" w:rsidRDefault="00FF0B3D" w:rsidP="0058530F">
      <w:pPr>
        <w:pStyle w:val="corte4fondo"/>
        <w:numPr>
          <w:ilvl w:val="2"/>
          <w:numId w:val="1"/>
        </w:numPr>
        <w:tabs>
          <w:tab w:val="left" w:pos="0"/>
        </w:tabs>
        <w:spacing w:after="360" w:line="360" w:lineRule="auto"/>
        <w:ind w:left="1134"/>
        <w:rPr>
          <w:rFonts w:cs="Arial"/>
          <w:sz w:val="26"/>
          <w:szCs w:val="26"/>
        </w:rPr>
      </w:pPr>
      <w:r>
        <w:rPr>
          <w:rFonts w:cs="Arial"/>
          <w:sz w:val="26"/>
          <w:szCs w:val="26"/>
        </w:rPr>
        <w:t>En tercer lugar,</w:t>
      </w:r>
      <w:r w:rsidR="00B63CAF" w:rsidRPr="00B63CAF">
        <w:rPr>
          <w:rFonts w:cs="Arial"/>
          <w:sz w:val="26"/>
          <w:szCs w:val="26"/>
        </w:rPr>
        <w:t xml:space="preserve"> </w:t>
      </w:r>
      <w:r w:rsidR="00B63CAF">
        <w:rPr>
          <w:rFonts w:cs="Arial"/>
          <w:sz w:val="26"/>
          <w:szCs w:val="26"/>
        </w:rPr>
        <w:t>el decreto</w:t>
      </w:r>
      <w:r w:rsidR="004F0020">
        <w:rPr>
          <w:rFonts w:cs="Arial"/>
          <w:sz w:val="26"/>
          <w:szCs w:val="26"/>
        </w:rPr>
        <w:t xml:space="preserve"> impugnado</w:t>
      </w:r>
      <w:r w:rsidR="00B63CAF" w:rsidRPr="001D7F75">
        <w:rPr>
          <w:rFonts w:cs="Arial"/>
          <w:sz w:val="26"/>
          <w:szCs w:val="26"/>
        </w:rPr>
        <w:t xml:space="preserve"> adicionó un tercer párrafo al artículo 11 de la Ley de De</w:t>
      </w:r>
      <w:r w:rsidR="00B63CAF">
        <w:rPr>
          <w:rFonts w:cs="Arial"/>
          <w:sz w:val="26"/>
          <w:szCs w:val="26"/>
        </w:rPr>
        <w:t>rechos de los Pueblos Indígenas</w:t>
      </w:r>
      <w:r w:rsidR="00327C26">
        <w:rPr>
          <w:rFonts w:cs="Arial"/>
          <w:sz w:val="26"/>
          <w:szCs w:val="26"/>
        </w:rPr>
        <w:t xml:space="preserve"> del Estado de Chihuahua</w:t>
      </w:r>
      <w:r w:rsidR="00B63CAF" w:rsidRPr="00894B94">
        <w:rPr>
          <w:rStyle w:val="Refdenotaalpie"/>
          <w:rFonts w:cs="Arial"/>
          <w:sz w:val="26"/>
          <w:szCs w:val="26"/>
        </w:rPr>
        <w:footnoteReference w:id="30"/>
      </w:r>
      <w:r w:rsidR="00B63CAF">
        <w:rPr>
          <w:rFonts w:cs="Arial"/>
          <w:sz w:val="26"/>
          <w:szCs w:val="26"/>
        </w:rPr>
        <w:t>.</w:t>
      </w:r>
      <w:r w:rsidR="00BF1CDA">
        <w:rPr>
          <w:rFonts w:cs="Arial"/>
          <w:sz w:val="26"/>
          <w:szCs w:val="26"/>
        </w:rPr>
        <w:t xml:space="preserve"> La </w:t>
      </w:r>
      <w:r w:rsidR="007F0BB9">
        <w:rPr>
          <w:rFonts w:cs="Arial"/>
          <w:sz w:val="26"/>
          <w:szCs w:val="26"/>
        </w:rPr>
        <w:t xml:space="preserve">nueva </w:t>
      </w:r>
      <w:r w:rsidR="00BF1CDA">
        <w:rPr>
          <w:rFonts w:cs="Arial"/>
          <w:sz w:val="26"/>
          <w:szCs w:val="26"/>
        </w:rPr>
        <w:t>disposición</w:t>
      </w:r>
      <w:r w:rsidR="007F0BB9">
        <w:rPr>
          <w:rFonts w:cs="Arial"/>
          <w:sz w:val="26"/>
          <w:szCs w:val="26"/>
        </w:rPr>
        <w:t xml:space="preserve"> prev</w:t>
      </w:r>
      <w:r w:rsidR="00AE435E">
        <w:rPr>
          <w:rFonts w:cs="Arial"/>
          <w:sz w:val="26"/>
          <w:szCs w:val="26"/>
        </w:rPr>
        <w:t>é</w:t>
      </w:r>
      <w:r w:rsidR="007F0BB9">
        <w:rPr>
          <w:rFonts w:cs="Arial"/>
          <w:sz w:val="26"/>
          <w:szCs w:val="26"/>
        </w:rPr>
        <w:t xml:space="preserve"> </w:t>
      </w:r>
      <w:r w:rsidR="00AE435E">
        <w:rPr>
          <w:rFonts w:cs="Arial"/>
          <w:sz w:val="26"/>
          <w:szCs w:val="26"/>
        </w:rPr>
        <w:t>que se</w:t>
      </w:r>
      <w:r w:rsidR="007F0BB9">
        <w:rPr>
          <w:rFonts w:cs="Arial"/>
          <w:sz w:val="26"/>
          <w:szCs w:val="26"/>
        </w:rPr>
        <w:t xml:space="preserve"> </w:t>
      </w:r>
      <w:r w:rsidR="007F0BB9">
        <w:rPr>
          <w:rFonts w:cs="Arial"/>
          <w:sz w:val="26"/>
          <w:szCs w:val="26"/>
        </w:rPr>
        <w:lastRenderedPageBreak/>
        <w:t>determin</w:t>
      </w:r>
      <w:r w:rsidR="00B24236">
        <w:rPr>
          <w:rFonts w:cs="Arial"/>
          <w:sz w:val="26"/>
          <w:szCs w:val="26"/>
        </w:rPr>
        <w:t>ará</w:t>
      </w:r>
      <w:r w:rsidR="007F0BB9">
        <w:rPr>
          <w:rFonts w:cs="Arial"/>
          <w:sz w:val="26"/>
          <w:szCs w:val="26"/>
        </w:rPr>
        <w:t xml:space="preserve"> anual</w:t>
      </w:r>
      <w:r w:rsidR="00AE435E">
        <w:rPr>
          <w:rFonts w:cs="Arial"/>
          <w:sz w:val="26"/>
          <w:szCs w:val="26"/>
        </w:rPr>
        <w:t>mente</w:t>
      </w:r>
      <w:r w:rsidR="007F0BB9">
        <w:rPr>
          <w:rFonts w:cs="Arial"/>
          <w:sz w:val="26"/>
          <w:szCs w:val="26"/>
        </w:rPr>
        <w:t xml:space="preserve"> la partida presupuestal que permita al órgano especializado en personas traductoras e intérpretes cumplir con las funciones que la ley le señal</w:t>
      </w:r>
      <w:r w:rsidR="00D35235">
        <w:rPr>
          <w:rFonts w:cs="Arial"/>
          <w:sz w:val="26"/>
          <w:szCs w:val="26"/>
        </w:rPr>
        <w:t>a</w:t>
      </w:r>
      <w:r w:rsidR="007F0BB9">
        <w:rPr>
          <w:rFonts w:cs="Arial"/>
          <w:sz w:val="26"/>
          <w:szCs w:val="26"/>
        </w:rPr>
        <w:t>.</w:t>
      </w:r>
      <w:r>
        <w:rPr>
          <w:rFonts w:cs="Arial"/>
          <w:sz w:val="26"/>
          <w:szCs w:val="26"/>
        </w:rPr>
        <w:t xml:space="preserve"> </w:t>
      </w:r>
    </w:p>
    <w:p w:rsidR="001D7F75" w:rsidRDefault="00327C26" w:rsidP="0058530F">
      <w:pPr>
        <w:pStyle w:val="corte4fondo"/>
        <w:numPr>
          <w:ilvl w:val="2"/>
          <w:numId w:val="1"/>
        </w:numPr>
        <w:tabs>
          <w:tab w:val="left" w:pos="0"/>
        </w:tabs>
        <w:spacing w:after="360" w:line="360" w:lineRule="auto"/>
        <w:ind w:left="1134"/>
        <w:rPr>
          <w:rFonts w:cs="Arial"/>
          <w:sz w:val="26"/>
          <w:szCs w:val="26"/>
        </w:rPr>
      </w:pPr>
      <w:r>
        <w:rPr>
          <w:rFonts w:cs="Arial"/>
          <w:sz w:val="26"/>
          <w:szCs w:val="26"/>
        </w:rPr>
        <w:t>Por último</w:t>
      </w:r>
      <w:r w:rsidR="00E47147">
        <w:rPr>
          <w:rFonts w:cs="Arial"/>
          <w:sz w:val="26"/>
          <w:szCs w:val="26"/>
        </w:rPr>
        <w:t>,</w:t>
      </w:r>
      <w:r w:rsidR="00B63CAF" w:rsidRPr="00B63CAF">
        <w:rPr>
          <w:rFonts w:cs="Arial"/>
          <w:sz w:val="26"/>
          <w:szCs w:val="26"/>
        </w:rPr>
        <w:t xml:space="preserve"> </w:t>
      </w:r>
      <w:r w:rsidR="00B63CAF">
        <w:rPr>
          <w:rFonts w:cs="Arial"/>
          <w:sz w:val="26"/>
          <w:szCs w:val="26"/>
        </w:rPr>
        <w:t xml:space="preserve">el decreto </w:t>
      </w:r>
      <w:r w:rsidR="004F0020">
        <w:rPr>
          <w:rFonts w:cs="Arial"/>
          <w:sz w:val="26"/>
          <w:szCs w:val="26"/>
        </w:rPr>
        <w:t xml:space="preserve">impugnado </w:t>
      </w:r>
      <w:r w:rsidR="00B63CAF" w:rsidRPr="001D7F75">
        <w:rPr>
          <w:rFonts w:cs="Arial"/>
          <w:sz w:val="26"/>
          <w:szCs w:val="26"/>
        </w:rPr>
        <w:t>adicionó un segundo párrafo al artículo 272 i, numeral 2</w:t>
      </w:r>
      <w:r w:rsidR="00B63CAF">
        <w:rPr>
          <w:rFonts w:cs="Arial"/>
          <w:sz w:val="26"/>
          <w:szCs w:val="26"/>
        </w:rPr>
        <w:t>, de la Ley Electoral del Estado de Chihuahua</w:t>
      </w:r>
      <w:r w:rsidR="00B63CAF" w:rsidRPr="00894B94">
        <w:rPr>
          <w:rStyle w:val="Refdenotaalpie"/>
          <w:rFonts w:cs="Arial"/>
          <w:sz w:val="26"/>
          <w:szCs w:val="26"/>
        </w:rPr>
        <w:footnoteReference w:id="31"/>
      </w:r>
      <w:r w:rsidR="001D7F75">
        <w:rPr>
          <w:rFonts w:cs="Arial"/>
          <w:sz w:val="26"/>
          <w:szCs w:val="26"/>
        </w:rPr>
        <w:t>.</w:t>
      </w:r>
      <w:r w:rsidR="007F0BB9">
        <w:rPr>
          <w:rFonts w:cs="Arial"/>
          <w:sz w:val="26"/>
          <w:szCs w:val="26"/>
        </w:rPr>
        <w:t xml:space="preserve"> Éste dispon</w:t>
      </w:r>
      <w:r>
        <w:rPr>
          <w:rFonts w:cs="Arial"/>
          <w:sz w:val="26"/>
          <w:szCs w:val="26"/>
        </w:rPr>
        <w:t>e</w:t>
      </w:r>
      <w:r w:rsidR="007F0BB9">
        <w:rPr>
          <w:rFonts w:cs="Arial"/>
          <w:sz w:val="26"/>
          <w:szCs w:val="26"/>
        </w:rPr>
        <w:t xml:space="preserve"> que cuando el Órgano Interno de Control del Instituto Estatal Electoral</w:t>
      </w:r>
      <w:r w:rsidR="00F44B07">
        <w:rPr>
          <w:rFonts w:cs="Arial"/>
          <w:sz w:val="26"/>
          <w:szCs w:val="26"/>
        </w:rPr>
        <w:t xml:space="preserve"> de Chihuahua</w:t>
      </w:r>
      <w:r>
        <w:rPr>
          <w:rFonts w:cs="Arial"/>
          <w:sz w:val="26"/>
          <w:szCs w:val="26"/>
        </w:rPr>
        <w:t xml:space="preserve"> en ejercicio de sus atribuciones vincule a particulares, lo cual en términos del régimen de responsabilidades administrativas de los servidores públicos</w:t>
      </w:r>
      <w:r w:rsidRPr="00327C26">
        <w:rPr>
          <w:rFonts w:cs="Arial"/>
          <w:sz w:val="26"/>
          <w:szCs w:val="26"/>
        </w:rPr>
        <w:t xml:space="preserve"> </w:t>
      </w:r>
      <w:r>
        <w:rPr>
          <w:rFonts w:cs="Arial"/>
          <w:sz w:val="26"/>
          <w:szCs w:val="26"/>
        </w:rPr>
        <w:t>puede suceder por faltas graves,</w:t>
      </w:r>
      <w:r w:rsidR="00AE324F">
        <w:rPr>
          <w:rFonts w:cs="Arial"/>
          <w:sz w:val="26"/>
          <w:szCs w:val="26"/>
        </w:rPr>
        <w:t xml:space="preserve"> y dichos particulares se </w:t>
      </w:r>
      <w:proofErr w:type="spellStart"/>
      <w:r w:rsidR="00AE324F">
        <w:rPr>
          <w:rFonts w:cs="Arial"/>
          <w:sz w:val="26"/>
          <w:szCs w:val="26"/>
        </w:rPr>
        <w:t>auto</w:t>
      </w:r>
      <w:r w:rsidR="00DD364B">
        <w:rPr>
          <w:rFonts w:cs="Arial"/>
          <w:sz w:val="26"/>
          <w:szCs w:val="26"/>
        </w:rPr>
        <w:t>adscriban</w:t>
      </w:r>
      <w:proofErr w:type="spellEnd"/>
      <w:r w:rsidR="00DD364B">
        <w:rPr>
          <w:rFonts w:cs="Arial"/>
          <w:sz w:val="26"/>
          <w:szCs w:val="26"/>
        </w:rPr>
        <w:t xml:space="preserve"> como personas indígenas, </w:t>
      </w:r>
      <w:r w:rsidR="00F44B07">
        <w:rPr>
          <w:rFonts w:cs="Arial"/>
          <w:sz w:val="26"/>
          <w:szCs w:val="26"/>
        </w:rPr>
        <w:t>el referido</w:t>
      </w:r>
      <w:r w:rsidR="00DD364B">
        <w:rPr>
          <w:rFonts w:cs="Arial"/>
          <w:sz w:val="26"/>
          <w:szCs w:val="26"/>
        </w:rPr>
        <w:t xml:space="preserve"> Órgano Interno de Control debe garantizar que</w:t>
      </w:r>
      <w:r w:rsidR="004F0020">
        <w:rPr>
          <w:rFonts w:cs="Arial"/>
          <w:sz w:val="26"/>
          <w:szCs w:val="26"/>
        </w:rPr>
        <w:t xml:space="preserve"> aquéllos</w:t>
      </w:r>
      <w:r w:rsidR="00DD364B">
        <w:rPr>
          <w:rFonts w:cs="Arial"/>
          <w:sz w:val="26"/>
          <w:szCs w:val="26"/>
        </w:rPr>
        <w:t xml:space="preserve"> cuenten con la asistencia de persona defensora, traductora o intérprete, según corresponda. También </w:t>
      </w:r>
      <w:r w:rsidR="007C74A1">
        <w:rPr>
          <w:rFonts w:cs="Arial"/>
          <w:sz w:val="26"/>
          <w:szCs w:val="26"/>
        </w:rPr>
        <w:t>se prevé</w:t>
      </w:r>
      <w:r w:rsidR="00DD364B">
        <w:rPr>
          <w:rFonts w:cs="Arial"/>
          <w:sz w:val="26"/>
          <w:szCs w:val="26"/>
        </w:rPr>
        <w:t xml:space="preserve"> que, tratándose de las dos últimas, el citado órgano podrá recurrir al apoyo del Centro de Personas Traductoras e intérpretes a que se refiere la Ley Orgánica </w:t>
      </w:r>
      <w:r w:rsidR="00B97E6F">
        <w:rPr>
          <w:rFonts w:cs="Arial"/>
          <w:sz w:val="26"/>
          <w:szCs w:val="26"/>
        </w:rPr>
        <w:t>del Poder Judicial del Estado.</w:t>
      </w:r>
    </w:p>
    <w:p w:rsidR="004F0020" w:rsidRDefault="0048166A" w:rsidP="0058530F">
      <w:pPr>
        <w:pStyle w:val="corte4fondo"/>
        <w:numPr>
          <w:ilvl w:val="1"/>
          <w:numId w:val="1"/>
        </w:numPr>
        <w:tabs>
          <w:tab w:val="left" w:pos="0"/>
        </w:tabs>
        <w:spacing w:after="360" w:line="360" w:lineRule="auto"/>
        <w:ind w:left="851"/>
        <w:rPr>
          <w:rFonts w:cs="Arial"/>
          <w:sz w:val="26"/>
          <w:szCs w:val="26"/>
        </w:rPr>
      </w:pPr>
      <w:r w:rsidRPr="001D7F75">
        <w:rPr>
          <w:rFonts w:cs="Arial"/>
          <w:sz w:val="26"/>
          <w:szCs w:val="26"/>
        </w:rPr>
        <w:t xml:space="preserve">El </w:t>
      </w:r>
      <w:r w:rsidRPr="004F0020">
        <w:rPr>
          <w:rFonts w:cs="Arial"/>
          <w:b/>
          <w:sz w:val="26"/>
          <w:szCs w:val="26"/>
        </w:rPr>
        <w:t>Decreto N</w:t>
      </w:r>
      <w:r w:rsidR="003644E3" w:rsidRPr="004F0020">
        <w:rPr>
          <w:rFonts w:cs="Arial"/>
          <w:b/>
          <w:sz w:val="26"/>
          <w:szCs w:val="26"/>
        </w:rPr>
        <w:t>°</w:t>
      </w:r>
      <w:r w:rsidRPr="004F0020">
        <w:rPr>
          <w:rFonts w:cs="Arial"/>
          <w:b/>
          <w:sz w:val="26"/>
          <w:szCs w:val="26"/>
        </w:rPr>
        <w:t xml:space="preserve"> LXVI/RFLEY/0665/2020 III P.E.</w:t>
      </w:r>
      <w:r w:rsidR="00C00BDA" w:rsidRPr="00894B94">
        <w:rPr>
          <w:rStyle w:val="Refdenotaalpie"/>
          <w:rFonts w:cs="Arial"/>
          <w:sz w:val="26"/>
          <w:szCs w:val="26"/>
        </w:rPr>
        <w:footnoteReference w:id="32"/>
      </w:r>
      <w:r w:rsidRPr="001D7F75">
        <w:rPr>
          <w:rFonts w:cs="Arial"/>
          <w:sz w:val="26"/>
          <w:szCs w:val="26"/>
        </w:rPr>
        <w:t xml:space="preserve"> </w:t>
      </w:r>
      <w:r w:rsidR="00C47DDC">
        <w:rPr>
          <w:rFonts w:cs="Arial"/>
          <w:sz w:val="26"/>
          <w:szCs w:val="26"/>
        </w:rPr>
        <w:t>adicion</w:t>
      </w:r>
      <w:r w:rsidRPr="001D7F75">
        <w:rPr>
          <w:rFonts w:cs="Arial"/>
          <w:sz w:val="26"/>
          <w:szCs w:val="26"/>
        </w:rPr>
        <w:t xml:space="preserve">ó </w:t>
      </w:r>
      <w:r w:rsidR="002D26DB">
        <w:rPr>
          <w:rFonts w:cs="Arial"/>
          <w:sz w:val="26"/>
          <w:szCs w:val="26"/>
        </w:rPr>
        <w:t xml:space="preserve">diversas disposiciones de </w:t>
      </w:r>
      <w:r w:rsidRPr="001D7F75">
        <w:rPr>
          <w:rFonts w:cs="Arial"/>
          <w:sz w:val="26"/>
          <w:szCs w:val="26"/>
        </w:rPr>
        <w:t xml:space="preserve">la Ley Orgánica del Poder Judicial del Estado de </w:t>
      </w:r>
      <w:r w:rsidRPr="001D7F75">
        <w:rPr>
          <w:rFonts w:cs="Arial"/>
          <w:sz w:val="26"/>
          <w:szCs w:val="26"/>
        </w:rPr>
        <w:lastRenderedPageBreak/>
        <w:t xml:space="preserve">Chihuahua </w:t>
      </w:r>
      <w:r w:rsidR="002D26DB">
        <w:rPr>
          <w:rFonts w:cs="Arial"/>
          <w:sz w:val="26"/>
          <w:szCs w:val="26"/>
        </w:rPr>
        <w:t xml:space="preserve">que </w:t>
      </w:r>
      <w:r w:rsidR="00A90A5B">
        <w:rPr>
          <w:rFonts w:cs="Arial"/>
          <w:sz w:val="26"/>
          <w:szCs w:val="26"/>
        </w:rPr>
        <w:t>entró</w:t>
      </w:r>
      <w:r w:rsidR="002D26DB">
        <w:rPr>
          <w:rFonts w:cs="Arial"/>
          <w:sz w:val="26"/>
          <w:szCs w:val="26"/>
        </w:rPr>
        <w:t xml:space="preserve"> en vigor</w:t>
      </w:r>
      <w:r w:rsidR="00C00BDA">
        <w:rPr>
          <w:rFonts w:cs="Arial"/>
          <w:sz w:val="26"/>
          <w:szCs w:val="26"/>
        </w:rPr>
        <w:t xml:space="preserve"> el veintiocho de diciembre de dos mil diecinueve</w:t>
      </w:r>
      <w:r w:rsidR="007F0BB9" w:rsidRPr="00894B94">
        <w:rPr>
          <w:rStyle w:val="Refdenotaalpie"/>
          <w:rFonts w:cs="Arial"/>
          <w:sz w:val="26"/>
          <w:szCs w:val="26"/>
        </w:rPr>
        <w:footnoteReference w:id="33"/>
      </w:r>
      <w:r w:rsidR="00D06DA0">
        <w:rPr>
          <w:rFonts w:cs="Arial"/>
          <w:sz w:val="26"/>
          <w:szCs w:val="26"/>
        </w:rPr>
        <w:t>.</w:t>
      </w:r>
      <w:r w:rsidR="007F0BB9">
        <w:rPr>
          <w:rFonts w:cs="Arial"/>
          <w:sz w:val="26"/>
          <w:szCs w:val="26"/>
        </w:rPr>
        <w:t xml:space="preserve"> </w:t>
      </w:r>
    </w:p>
    <w:p w:rsidR="004F0020" w:rsidRDefault="00B56079" w:rsidP="004F0020">
      <w:pPr>
        <w:pStyle w:val="corte4fondo"/>
        <w:numPr>
          <w:ilvl w:val="2"/>
          <w:numId w:val="1"/>
        </w:numPr>
        <w:tabs>
          <w:tab w:val="left" w:pos="0"/>
        </w:tabs>
        <w:spacing w:after="360" w:line="360" w:lineRule="auto"/>
        <w:ind w:left="1134"/>
        <w:rPr>
          <w:rFonts w:cs="Arial"/>
          <w:sz w:val="26"/>
          <w:szCs w:val="26"/>
        </w:rPr>
      </w:pPr>
      <w:r>
        <w:rPr>
          <w:rFonts w:cs="Arial"/>
          <w:sz w:val="26"/>
          <w:szCs w:val="26"/>
        </w:rPr>
        <w:t>En primer lugar</w:t>
      </w:r>
      <w:r w:rsidR="00C00BDA">
        <w:rPr>
          <w:rFonts w:cs="Arial"/>
          <w:sz w:val="26"/>
          <w:szCs w:val="26"/>
        </w:rPr>
        <w:t xml:space="preserve">, </w:t>
      </w:r>
      <w:r w:rsidR="002D26DB">
        <w:rPr>
          <w:rFonts w:cs="Arial"/>
          <w:sz w:val="26"/>
          <w:szCs w:val="26"/>
        </w:rPr>
        <w:t xml:space="preserve">se </w:t>
      </w:r>
      <w:r w:rsidR="0048166A" w:rsidRPr="001D7F75">
        <w:rPr>
          <w:rFonts w:cs="Arial"/>
          <w:sz w:val="26"/>
          <w:szCs w:val="26"/>
        </w:rPr>
        <w:t>agreg</w:t>
      </w:r>
      <w:r w:rsidR="00C00BDA">
        <w:rPr>
          <w:rFonts w:cs="Arial"/>
          <w:sz w:val="26"/>
          <w:szCs w:val="26"/>
        </w:rPr>
        <w:t>ó</w:t>
      </w:r>
      <w:r w:rsidR="0048166A" w:rsidRPr="001D7F75">
        <w:rPr>
          <w:rFonts w:cs="Arial"/>
          <w:sz w:val="26"/>
          <w:szCs w:val="26"/>
        </w:rPr>
        <w:t xml:space="preserve"> un inciso i) a</w:t>
      </w:r>
      <w:r w:rsidR="002D26DB">
        <w:rPr>
          <w:rFonts w:cs="Arial"/>
          <w:sz w:val="26"/>
          <w:szCs w:val="26"/>
        </w:rPr>
        <w:t xml:space="preserve"> </w:t>
      </w:r>
      <w:r w:rsidR="0048166A" w:rsidRPr="001D7F75">
        <w:rPr>
          <w:rFonts w:cs="Arial"/>
          <w:sz w:val="26"/>
          <w:szCs w:val="26"/>
        </w:rPr>
        <w:t>l</w:t>
      </w:r>
      <w:r w:rsidR="002D26DB">
        <w:rPr>
          <w:rFonts w:cs="Arial"/>
          <w:sz w:val="26"/>
          <w:szCs w:val="26"/>
        </w:rPr>
        <w:t>a fracción II del</w:t>
      </w:r>
      <w:r w:rsidR="0048166A" w:rsidRPr="001D7F75">
        <w:rPr>
          <w:rFonts w:cs="Arial"/>
          <w:sz w:val="26"/>
          <w:szCs w:val="26"/>
        </w:rPr>
        <w:t xml:space="preserve"> artículo 16</w:t>
      </w:r>
      <w:r w:rsidR="003A2C77">
        <w:rPr>
          <w:rFonts w:cs="Arial"/>
          <w:sz w:val="26"/>
          <w:szCs w:val="26"/>
        </w:rPr>
        <w:t xml:space="preserve"> de la ley</w:t>
      </w:r>
      <w:r w:rsidR="002D26DB" w:rsidRPr="00894B94">
        <w:rPr>
          <w:rStyle w:val="Refdenotaalpie"/>
          <w:rFonts w:cs="Arial"/>
          <w:sz w:val="26"/>
          <w:szCs w:val="26"/>
        </w:rPr>
        <w:footnoteReference w:id="34"/>
      </w:r>
      <w:r w:rsidR="002D26DB">
        <w:rPr>
          <w:rFonts w:cs="Arial"/>
          <w:sz w:val="26"/>
          <w:szCs w:val="26"/>
        </w:rPr>
        <w:t xml:space="preserve">. Allí se dispone </w:t>
      </w:r>
      <w:r w:rsidR="009F0E77">
        <w:rPr>
          <w:rFonts w:cs="Arial"/>
          <w:sz w:val="26"/>
          <w:szCs w:val="26"/>
        </w:rPr>
        <w:t xml:space="preserve">simplemente </w:t>
      </w:r>
      <w:r w:rsidR="002D26DB">
        <w:rPr>
          <w:rFonts w:cs="Arial"/>
          <w:sz w:val="26"/>
          <w:szCs w:val="26"/>
        </w:rPr>
        <w:t>que el Centro de Personas Traductoras e Intérpretes representa un área auxiliar de la función administrativa del Poder Judicial del Estado.</w:t>
      </w:r>
    </w:p>
    <w:p w:rsidR="004F0020" w:rsidRDefault="00B56079" w:rsidP="004F0020">
      <w:pPr>
        <w:pStyle w:val="corte4fondo"/>
        <w:numPr>
          <w:ilvl w:val="2"/>
          <w:numId w:val="1"/>
        </w:numPr>
        <w:tabs>
          <w:tab w:val="left" w:pos="0"/>
        </w:tabs>
        <w:spacing w:after="360" w:line="360" w:lineRule="auto"/>
        <w:ind w:left="1134"/>
        <w:rPr>
          <w:rFonts w:cs="Arial"/>
          <w:sz w:val="26"/>
          <w:szCs w:val="26"/>
        </w:rPr>
      </w:pPr>
      <w:r>
        <w:rPr>
          <w:rFonts w:cs="Arial"/>
          <w:sz w:val="26"/>
          <w:szCs w:val="26"/>
        </w:rPr>
        <w:t>En segundo lugar</w:t>
      </w:r>
      <w:r w:rsidR="002D26DB">
        <w:rPr>
          <w:rFonts w:cs="Arial"/>
          <w:sz w:val="26"/>
          <w:szCs w:val="26"/>
        </w:rPr>
        <w:t xml:space="preserve">, </w:t>
      </w:r>
      <w:r w:rsidR="00B55EF3">
        <w:rPr>
          <w:rFonts w:cs="Arial"/>
          <w:sz w:val="26"/>
          <w:szCs w:val="26"/>
        </w:rPr>
        <w:t>el decreto</w:t>
      </w:r>
      <w:r w:rsidR="002D26DB">
        <w:rPr>
          <w:rFonts w:cs="Arial"/>
          <w:sz w:val="26"/>
          <w:szCs w:val="26"/>
        </w:rPr>
        <w:t xml:space="preserve"> adicionó</w:t>
      </w:r>
      <w:r w:rsidR="00B55EF3">
        <w:rPr>
          <w:rFonts w:cs="Arial"/>
          <w:sz w:val="26"/>
          <w:szCs w:val="26"/>
        </w:rPr>
        <w:t xml:space="preserve"> una Sección N</w:t>
      </w:r>
      <w:r w:rsidR="0048166A" w:rsidRPr="001D7F75">
        <w:rPr>
          <w:rFonts w:cs="Arial"/>
          <w:sz w:val="26"/>
          <w:szCs w:val="26"/>
        </w:rPr>
        <w:t>ovena</w:t>
      </w:r>
      <w:r w:rsidR="00B55EF3">
        <w:rPr>
          <w:rFonts w:cs="Arial"/>
          <w:sz w:val="26"/>
          <w:szCs w:val="26"/>
        </w:rPr>
        <w:t xml:space="preserve"> al </w:t>
      </w:r>
      <w:r w:rsidR="00FC6487">
        <w:rPr>
          <w:rFonts w:cs="Arial"/>
          <w:sz w:val="26"/>
          <w:szCs w:val="26"/>
        </w:rPr>
        <w:t>Capítulo Segundo del Título Tercero</w:t>
      </w:r>
      <w:r w:rsidR="00B55EF3">
        <w:rPr>
          <w:rFonts w:cs="Arial"/>
          <w:sz w:val="26"/>
          <w:szCs w:val="26"/>
        </w:rPr>
        <w:t xml:space="preserve"> de la ley.</w:t>
      </w:r>
      <w:r w:rsidR="0048166A" w:rsidRPr="001D7F75">
        <w:rPr>
          <w:rFonts w:cs="Arial"/>
          <w:sz w:val="26"/>
          <w:szCs w:val="26"/>
        </w:rPr>
        <w:t xml:space="preserve"> </w:t>
      </w:r>
      <w:r w:rsidR="00B55EF3">
        <w:rPr>
          <w:rFonts w:cs="Arial"/>
          <w:sz w:val="26"/>
          <w:szCs w:val="26"/>
        </w:rPr>
        <w:t xml:space="preserve">En términos </w:t>
      </w:r>
      <w:r w:rsidR="004F0020">
        <w:rPr>
          <w:rFonts w:cs="Arial"/>
          <w:sz w:val="26"/>
          <w:szCs w:val="26"/>
        </w:rPr>
        <w:t xml:space="preserve">muy </w:t>
      </w:r>
      <w:r w:rsidR="00FC6487">
        <w:rPr>
          <w:rFonts w:cs="Arial"/>
          <w:sz w:val="26"/>
          <w:szCs w:val="26"/>
        </w:rPr>
        <w:t>similares</w:t>
      </w:r>
      <w:r w:rsidR="00B55EF3">
        <w:rPr>
          <w:rFonts w:cs="Arial"/>
          <w:sz w:val="26"/>
          <w:szCs w:val="26"/>
        </w:rPr>
        <w:t xml:space="preserve"> a como se había hecho</w:t>
      </w:r>
      <w:r w:rsidR="004F0020" w:rsidRPr="004F0020">
        <w:rPr>
          <w:rFonts w:cs="Arial"/>
          <w:sz w:val="26"/>
          <w:szCs w:val="26"/>
        </w:rPr>
        <w:t xml:space="preserve"> </w:t>
      </w:r>
      <w:r w:rsidR="004F0020">
        <w:rPr>
          <w:rFonts w:cs="Arial"/>
          <w:sz w:val="26"/>
          <w:szCs w:val="26"/>
        </w:rPr>
        <w:t>para la anterior</w:t>
      </w:r>
      <w:r w:rsidR="003A2C77" w:rsidRPr="003A2C77">
        <w:rPr>
          <w:rFonts w:cs="Arial"/>
          <w:sz w:val="26"/>
          <w:szCs w:val="26"/>
        </w:rPr>
        <w:t xml:space="preserve"> </w:t>
      </w:r>
      <w:r w:rsidR="003A2C77">
        <w:rPr>
          <w:rFonts w:cs="Arial"/>
          <w:sz w:val="26"/>
          <w:szCs w:val="26"/>
        </w:rPr>
        <w:t>ley orgánica</w:t>
      </w:r>
      <w:r w:rsidR="00B55EF3">
        <w:rPr>
          <w:rFonts w:cs="Arial"/>
          <w:sz w:val="26"/>
          <w:szCs w:val="26"/>
        </w:rPr>
        <w:t xml:space="preserve"> en el ya referido Decreto N° LXVI/RFLEY/0</w:t>
      </w:r>
      <w:r w:rsidR="00B55EF3" w:rsidRPr="001D7F75">
        <w:rPr>
          <w:rFonts w:cs="Arial"/>
          <w:sz w:val="26"/>
          <w:szCs w:val="26"/>
        </w:rPr>
        <w:t>5</w:t>
      </w:r>
      <w:r w:rsidR="00B55EF3">
        <w:rPr>
          <w:rFonts w:cs="Arial"/>
          <w:sz w:val="26"/>
          <w:szCs w:val="26"/>
        </w:rPr>
        <w:t>13/2019 I P.O</w:t>
      </w:r>
      <w:r w:rsidR="00B55EF3" w:rsidRPr="001D7F75">
        <w:rPr>
          <w:rFonts w:cs="Arial"/>
          <w:sz w:val="26"/>
          <w:szCs w:val="26"/>
        </w:rPr>
        <w:t>.</w:t>
      </w:r>
      <w:r>
        <w:rPr>
          <w:rFonts w:cs="Arial"/>
          <w:sz w:val="26"/>
          <w:szCs w:val="26"/>
        </w:rPr>
        <w:t xml:space="preserve"> </w:t>
      </w:r>
      <w:r w:rsidR="00B55EF3">
        <w:rPr>
          <w:rFonts w:cs="Arial"/>
          <w:sz w:val="26"/>
          <w:szCs w:val="26"/>
        </w:rPr>
        <w:t xml:space="preserve">(véase </w:t>
      </w:r>
      <w:r w:rsidR="00B55EF3" w:rsidRPr="003644E3">
        <w:rPr>
          <w:rFonts w:cs="Arial"/>
          <w:i/>
          <w:sz w:val="26"/>
          <w:szCs w:val="26"/>
        </w:rPr>
        <w:t>supra</w:t>
      </w:r>
      <w:r w:rsidR="00B55EF3">
        <w:rPr>
          <w:rFonts w:cs="Arial"/>
          <w:sz w:val="26"/>
          <w:szCs w:val="26"/>
        </w:rPr>
        <w:t xml:space="preserve"> </w:t>
      </w:r>
      <w:r w:rsidR="00B55EF3" w:rsidRPr="00A71D3F">
        <w:rPr>
          <w:rFonts w:cs="Arial"/>
          <w:b/>
          <w:sz w:val="26"/>
          <w:szCs w:val="26"/>
        </w:rPr>
        <w:t>B</w:t>
      </w:r>
      <w:r w:rsidR="00B55EF3">
        <w:rPr>
          <w:rFonts w:cs="Arial"/>
          <w:b/>
          <w:sz w:val="26"/>
          <w:szCs w:val="26"/>
        </w:rPr>
        <w:t>.2</w:t>
      </w:r>
      <w:r w:rsidR="00B55EF3">
        <w:rPr>
          <w:rFonts w:cs="Arial"/>
          <w:sz w:val="26"/>
          <w:szCs w:val="26"/>
        </w:rPr>
        <w:t xml:space="preserve">), </w:t>
      </w:r>
      <w:r w:rsidR="00FC6487">
        <w:rPr>
          <w:rFonts w:cs="Arial"/>
          <w:sz w:val="26"/>
          <w:szCs w:val="26"/>
        </w:rPr>
        <w:t>la</w:t>
      </w:r>
      <w:r w:rsidR="00B55EF3">
        <w:rPr>
          <w:rFonts w:cs="Arial"/>
          <w:sz w:val="26"/>
          <w:szCs w:val="26"/>
        </w:rPr>
        <w:t xml:space="preserve"> </w:t>
      </w:r>
      <w:r>
        <w:rPr>
          <w:rFonts w:cs="Arial"/>
          <w:sz w:val="26"/>
          <w:szCs w:val="26"/>
        </w:rPr>
        <w:t xml:space="preserve">nueva </w:t>
      </w:r>
      <w:r w:rsidR="00B55EF3">
        <w:rPr>
          <w:rFonts w:cs="Arial"/>
          <w:sz w:val="26"/>
          <w:szCs w:val="26"/>
        </w:rPr>
        <w:t xml:space="preserve">sección </w:t>
      </w:r>
      <w:r w:rsidR="00FC6487">
        <w:rPr>
          <w:rFonts w:cs="Arial"/>
          <w:sz w:val="26"/>
          <w:szCs w:val="26"/>
        </w:rPr>
        <w:t xml:space="preserve">—integrada por los </w:t>
      </w:r>
      <w:r w:rsidR="00FC6487" w:rsidRPr="001D7F75">
        <w:rPr>
          <w:rFonts w:cs="Arial"/>
          <w:sz w:val="26"/>
          <w:szCs w:val="26"/>
        </w:rPr>
        <w:t>artí</w:t>
      </w:r>
      <w:r w:rsidR="00FC6487">
        <w:rPr>
          <w:rFonts w:cs="Arial"/>
          <w:sz w:val="26"/>
          <w:szCs w:val="26"/>
        </w:rPr>
        <w:t>culos 177 Bis, 177 Ter y 177 Quá</w:t>
      </w:r>
      <w:r w:rsidR="00FC6487" w:rsidRPr="001D7F75">
        <w:rPr>
          <w:rFonts w:cs="Arial"/>
          <w:sz w:val="26"/>
          <w:szCs w:val="26"/>
        </w:rPr>
        <w:t>ter</w:t>
      </w:r>
      <w:r w:rsidR="00FC6487" w:rsidRPr="00894B94">
        <w:rPr>
          <w:rStyle w:val="Refdenotaalpie"/>
          <w:rFonts w:cs="Arial"/>
          <w:sz w:val="26"/>
          <w:szCs w:val="26"/>
        </w:rPr>
        <w:footnoteReference w:id="35"/>
      </w:r>
      <w:r w:rsidR="00FC6487">
        <w:rPr>
          <w:rFonts w:cs="Arial"/>
          <w:sz w:val="26"/>
          <w:szCs w:val="26"/>
        </w:rPr>
        <w:t xml:space="preserve">— </w:t>
      </w:r>
      <w:r w:rsidR="00B55EF3">
        <w:rPr>
          <w:rFonts w:cs="Arial"/>
          <w:sz w:val="26"/>
          <w:szCs w:val="26"/>
        </w:rPr>
        <w:t>establece un “</w:t>
      </w:r>
      <w:r w:rsidR="00B55EF3" w:rsidRPr="00AC6C5A">
        <w:rPr>
          <w:rFonts w:cs="Arial"/>
          <w:i/>
          <w:sz w:val="26"/>
          <w:szCs w:val="26"/>
        </w:rPr>
        <w:t>Centro de Personas Traductoras e Intérpretes</w:t>
      </w:r>
      <w:r w:rsidR="00B55EF3">
        <w:rPr>
          <w:rFonts w:cs="Arial"/>
          <w:sz w:val="26"/>
          <w:szCs w:val="26"/>
        </w:rPr>
        <w:t>” como órgano auxiliar del Poder Judicial, con autonomía técnica y operativa para el cumplimiento de sus funciones y el desarrollo d</w:t>
      </w:r>
      <w:r w:rsidR="00FC6487">
        <w:rPr>
          <w:rFonts w:cs="Arial"/>
          <w:sz w:val="26"/>
          <w:szCs w:val="26"/>
        </w:rPr>
        <w:t>e sus actividades sustantivas</w:t>
      </w:r>
      <w:r w:rsidRPr="00B56079">
        <w:rPr>
          <w:rFonts w:cs="Arial"/>
          <w:sz w:val="26"/>
          <w:szCs w:val="26"/>
        </w:rPr>
        <w:t xml:space="preserve"> </w:t>
      </w:r>
      <w:r>
        <w:rPr>
          <w:rFonts w:cs="Arial"/>
          <w:sz w:val="26"/>
          <w:szCs w:val="26"/>
        </w:rPr>
        <w:t>(art. 177 Bis, párr. primero)</w:t>
      </w:r>
      <w:r w:rsidR="00FC6487">
        <w:rPr>
          <w:rFonts w:cs="Arial"/>
          <w:sz w:val="26"/>
          <w:szCs w:val="26"/>
        </w:rPr>
        <w:t xml:space="preserve">. </w:t>
      </w:r>
      <w:r>
        <w:rPr>
          <w:rFonts w:cs="Arial"/>
          <w:sz w:val="26"/>
          <w:szCs w:val="26"/>
        </w:rPr>
        <w:t>D</w:t>
      </w:r>
      <w:r w:rsidR="00FC6487">
        <w:rPr>
          <w:rFonts w:cs="Arial"/>
          <w:sz w:val="26"/>
          <w:szCs w:val="26"/>
        </w:rPr>
        <w:t>ispone que e</w:t>
      </w:r>
      <w:r w:rsidR="00B55EF3">
        <w:rPr>
          <w:rFonts w:cs="Arial"/>
          <w:sz w:val="26"/>
          <w:szCs w:val="26"/>
        </w:rPr>
        <w:t xml:space="preserve">l objetivo del Centro </w:t>
      </w:r>
      <w:r w:rsidR="00FC6487">
        <w:rPr>
          <w:rFonts w:cs="Arial"/>
          <w:sz w:val="26"/>
          <w:szCs w:val="26"/>
        </w:rPr>
        <w:t>es</w:t>
      </w:r>
      <w:r w:rsidR="00B55EF3">
        <w:rPr>
          <w:rFonts w:cs="Arial"/>
          <w:sz w:val="26"/>
          <w:szCs w:val="26"/>
        </w:rPr>
        <w:t xml:space="preserve"> proveer lo necesario en materia de traducción e interpretación, a fin de que </w:t>
      </w:r>
      <w:r w:rsidR="00B55EF3">
        <w:rPr>
          <w:rFonts w:cs="Arial"/>
          <w:sz w:val="26"/>
          <w:szCs w:val="26"/>
        </w:rPr>
        <w:lastRenderedPageBreak/>
        <w:t>las instituciones de procuración, impartición y administración de justicia pu</w:t>
      </w:r>
      <w:r w:rsidR="00FC6487">
        <w:rPr>
          <w:rFonts w:cs="Arial"/>
          <w:sz w:val="26"/>
          <w:szCs w:val="26"/>
        </w:rPr>
        <w:t>ed</w:t>
      </w:r>
      <w:r w:rsidR="00B55EF3">
        <w:rPr>
          <w:rFonts w:cs="Arial"/>
          <w:sz w:val="26"/>
          <w:szCs w:val="26"/>
        </w:rPr>
        <w:t xml:space="preserve">an garantizar el derecho de acceso a la justicia </w:t>
      </w:r>
      <w:r w:rsidR="00FC6487">
        <w:rPr>
          <w:rFonts w:cs="Arial"/>
          <w:sz w:val="26"/>
          <w:szCs w:val="26"/>
        </w:rPr>
        <w:t>a personas con discapacidad, particularmente visual</w:t>
      </w:r>
      <w:r w:rsidR="00BB784F">
        <w:rPr>
          <w:rFonts w:cs="Arial"/>
          <w:sz w:val="26"/>
          <w:szCs w:val="26"/>
        </w:rPr>
        <w:t>,</w:t>
      </w:r>
      <w:r w:rsidR="00FC6487">
        <w:rPr>
          <w:rFonts w:cs="Arial"/>
          <w:sz w:val="26"/>
          <w:szCs w:val="26"/>
        </w:rPr>
        <w:t xml:space="preserve"> auditiva o del habla, así como </w:t>
      </w:r>
      <w:r w:rsidR="00B55EF3">
        <w:rPr>
          <w:rFonts w:cs="Arial"/>
          <w:sz w:val="26"/>
          <w:szCs w:val="26"/>
        </w:rPr>
        <w:t>a l</w:t>
      </w:r>
      <w:r w:rsidR="00FC6487">
        <w:rPr>
          <w:rFonts w:cs="Arial"/>
          <w:sz w:val="26"/>
          <w:szCs w:val="26"/>
        </w:rPr>
        <w:t>o</w:t>
      </w:r>
      <w:r w:rsidR="00B55EF3">
        <w:rPr>
          <w:rFonts w:cs="Arial"/>
          <w:sz w:val="26"/>
          <w:szCs w:val="26"/>
        </w:rPr>
        <w:t>s pueblos y comunidades indígenas,</w:t>
      </w:r>
      <w:r>
        <w:rPr>
          <w:rFonts w:cs="Arial"/>
          <w:sz w:val="26"/>
          <w:szCs w:val="26"/>
        </w:rPr>
        <w:t xml:space="preserve"> y que para tal efecto contará con personal especializado en Lengua de Señas Mexicana, en la emisión de documentos en Sistema de Escritura Braille, en lenguas indígenas y demás ayudas técnicas y humanas necesarias para la </w:t>
      </w:r>
      <w:r w:rsidR="00FC2FC6">
        <w:rPr>
          <w:rFonts w:cs="Arial"/>
          <w:sz w:val="26"/>
          <w:szCs w:val="26"/>
        </w:rPr>
        <w:t>comunic</w:t>
      </w:r>
      <w:r>
        <w:rPr>
          <w:rFonts w:cs="Arial"/>
          <w:sz w:val="26"/>
          <w:szCs w:val="26"/>
        </w:rPr>
        <w:t>ación</w:t>
      </w:r>
      <w:r w:rsidRPr="00B56079">
        <w:rPr>
          <w:rFonts w:cs="Arial"/>
          <w:sz w:val="26"/>
          <w:szCs w:val="26"/>
        </w:rPr>
        <w:t xml:space="preserve"> </w:t>
      </w:r>
      <w:r>
        <w:rPr>
          <w:rFonts w:cs="Arial"/>
          <w:sz w:val="26"/>
          <w:szCs w:val="26"/>
        </w:rPr>
        <w:t>(art. 177 Bis, párr. segundo).</w:t>
      </w:r>
      <w:r w:rsidR="00B55EF3">
        <w:rPr>
          <w:rFonts w:cs="Arial"/>
          <w:sz w:val="26"/>
          <w:szCs w:val="26"/>
        </w:rPr>
        <w:t xml:space="preserve"> </w:t>
      </w:r>
      <w:r w:rsidR="00802416">
        <w:rPr>
          <w:rFonts w:cs="Arial"/>
          <w:sz w:val="26"/>
          <w:szCs w:val="26"/>
        </w:rPr>
        <w:t>También prevé que el Centro</w:t>
      </w:r>
      <w:r w:rsidR="00B55EF3">
        <w:rPr>
          <w:rFonts w:cs="Arial"/>
          <w:sz w:val="26"/>
          <w:szCs w:val="26"/>
        </w:rPr>
        <w:t xml:space="preserve"> apoyar</w:t>
      </w:r>
      <w:r w:rsidR="00802416">
        <w:rPr>
          <w:rFonts w:cs="Arial"/>
          <w:sz w:val="26"/>
          <w:szCs w:val="26"/>
        </w:rPr>
        <w:t>á</w:t>
      </w:r>
      <w:r w:rsidR="00B55EF3">
        <w:rPr>
          <w:rFonts w:cs="Arial"/>
          <w:sz w:val="26"/>
          <w:szCs w:val="26"/>
        </w:rPr>
        <w:t xml:space="preserve"> a los poderes</w:t>
      </w:r>
      <w:r w:rsidR="004F0020">
        <w:rPr>
          <w:rFonts w:cs="Arial"/>
          <w:sz w:val="26"/>
          <w:szCs w:val="26"/>
        </w:rPr>
        <w:t xml:space="preserve"> estatales</w:t>
      </w:r>
      <w:r w:rsidR="00B55EF3">
        <w:rPr>
          <w:rFonts w:cs="Arial"/>
          <w:sz w:val="26"/>
          <w:szCs w:val="26"/>
        </w:rPr>
        <w:t xml:space="preserve"> y demás autoridades de la entidad federativa a fin de que los actos cuya emisión t</w:t>
      </w:r>
      <w:r w:rsidR="00FC6487">
        <w:rPr>
          <w:rFonts w:cs="Arial"/>
          <w:sz w:val="26"/>
          <w:szCs w:val="26"/>
        </w:rPr>
        <w:t>enga</w:t>
      </w:r>
      <w:r w:rsidR="00B55EF3">
        <w:rPr>
          <w:rFonts w:cs="Arial"/>
          <w:sz w:val="26"/>
          <w:szCs w:val="26"/>
        </w:rPr>
        <w:t xml:space="preserve"> consecuencias jurídicas para </w:t>
      </w:r>
      <w:r w:rsidR="00802416">
        <w:rPr>
          <w:rFonts w:cs="Arial"/>
          <w:sz w:val="26"/>
          <w:szCs w:val="26"/>
        </w:rPr>
        <w:t>las</w:t>
      </w:r>
      <w:r w:rsidR="00B55EF3">
        <w:rPr>
          <w:rFonts w:cs="Arial"/>
          <w:sz w:val="26"/>
          <w:szCs w:val="26"/>
        </w:rPr>
        <w:t xml:space="preserve"> personas</w:t>
      </w:r>
      <w:r>
        <w:rPr>
          <w:rFonts w:cs="Arial"/>
          <w:sz w:val="26"/>
          <w:szCs w:val="26"/>
        </w:rPr>
        <w:t xml:space="preserve"> con discapacidad</w:t>
      </w:r>
      <w:r w:rsidR="00802416">
        <w:rPr>
          <w:rFonts w:cs="Arial"/>
          <w:sz w:val="26"/>
          <w:szCs w:val="26"/>
        </w:rPr>
        <w:t xml:space="preserve"> visual, auditiva o del habla</w:t>
      </w:r>
      <w:r w:rsidR="00B55EF3">
        <w:rPr>
          <w:rFonts w:cs="Arial"/>
          <w:sz w:val="26"/>
          <w:szCs w:val="26"/>
        </w:rPr>
        <w:t>,</w:t>
      </w:r>
      <w:r w:rsidR="00802416">
        <w:rPr>
          <w:rFonts w:cs="Arial"/>
          <w:sz w:val="26"/>
          <w:szCs w:val="26"/>
        </w:rPr>
        <w:t xml:space="preserve"> así como para los</w:t>
      </w:r>
      <w:r w:rsidR="00B55EF3">
        <w:rPr>
          <w:rFonts w:cs="Arial"/>
          <w:sz w:val="26"/>
          <w:szCs w:val="26"/>
        </w:rPr>
        <w:t xml:space="preserve"> pueblos y comunidades</w:t>
      </w:r>
      <w:r>
        <w:rPr>
          <w:rFonts w:cs="Arial"/>
          <w:sz w:val="26"/>
          <w:szCs w:val="26"/>
        </w:rPr>
        <w:t xml:space="preserve"> indígenas</w:t>
      </w:r>
      <w:r w:rsidR="00802416">
        <w:rPr>
          <w:rFonts w:cs="Arial"/>
          <w:sz w:val="26"/>
          <w:szCs w:val="26"/>
        </w:rPr>
        <w:t>,</w:t>
      </w:r>
      <w:r w:rsidR="00B55EF3">
        <w:rPr>
          <w:rFonts w:cs="Arial"/>
          <w:sz w:val="26"/>
          <w:szCs w:val="26"/>
        </w:rPr>
        <w:t xml:space="preserve"> se desarroll</w:t>
      </w:r>
      <w:r w:rsidR="00FC6487">
        <w:rPr>
          <w:rFonts w:cs="Arial"/>
          <w:sz w:val="26"/>
          <w:szCs w:val="26"/>
        </w:rPr>
        <w:t>e</w:t>
      </w:r>
      <w:r w:rsidR="00B55EF3">
        <w:rPr>
          <w:rFonts w:cs="Arial"/>
          <w:sz w:val="26"/>
          <w:szCs w:val="26"/>
        </w:rPr>
        <w:t xml:space="preserve">n con la asistencia de personas traductoras o intérpretes debidamente certificadas (art. </w:t>
      </w:r>
      <w:r>
        <w:rPr>
          <w:rFonts w:cs="Arial"/>
          <w:sz w:val="26"/>
          <w:szCs w:val="26"/>
        </w:rPr>
        <w:t>177</w:t>
      </w:r>
      <w:r w:rsidR="00B55EF3">
        <w:rPr>
          <w:rFonts w:cs="Arial"/>
          <w:sz w:val="26"/>
          <w:szCs w:val="26"/>
        </w:rPr>
        <w:t xml:space="preserve"> Bis</w:t>
      </w:r>
      <w:r>
        <w:rPr>
          <w:rFonts w:cs="Arial"/>
          <w:sz w:val="26"/>
          <w:szCs w:val="26"/>
        </w:rPr>
        <w:t>, párr. tercero</w:t>
      </w:r>
      <w:r w:rsidR="00802416">
        <w:rPr>
          <w:rFonts w:cs="Arial"/>
          <w:sz w:val="26"/>
          <w:szCs w:val="26"/>
        </w:rPr>
        <w:t xml:space="preserve">). </w:t>
      </w:r>
      <w:r w:rsidR="004F0020">
        <w:rPr>
          <w:rFonts w:cs="Arial"/>
          <w:sz w:val="26"/>
          <w:szCs w:val="26"/>
        </w:rPr>
        <w:t xml:space="preserve">Asimismo, </w:t>
      </w:r>
      <w:r w:rsidR="00B97E6F">
        <w:rPr>
          <w:rFonts w:cs="Arial"/>
          <w:sz w:val="26"/>
          <w:szCs w:val="26"/>
        </w:rPr>
        <w:t>dispone</w:t>
      </w:r>
      <w:r w:rsidR="00802416">
        <w:rPr>
          <w:rFonts w:cs="Arial"/>
          <w:sz w:val="26"/>
          <w:szCs w:val="26"/>
        </w:rPr>
        <w:t xml:space="preserve"> que e</w:t>
      </w:r>
      <w:r w:rsidR="00B55EF3">
        <w:rPr>
          <w:rFonts w:cs="Arial"/>
          <w:sz w:val="26"/>
          <w:szCs w:val="26"/>
        </w:rPr>
        <w:t>l Centro depend</w:t>
      </w:r>
      <w:r w:rsidR="00802416">
        <w:rPr>
          <w:rFonts w:cs="Arial"/>
          <w:sz w:val="26"/>
          <w:szCs w:val="26"/>
        </w:rPr>
        <w:t>erá</w:t>
      </w:r>
      <w:r w:rsidR="00B55EF3">
        <w:rPr>
          <w:rFonts w:cs="Arial"/>
          <w:sz w:val="26"/>
          <w:szCs w:val="26"/>
        </w:rPr>
        <w:t xml:space="preserve"> del Consejo de la Judicatura del Estado y se estable</w:t>
      </w:r>
      <w:r w:rsidR="00802416">
        <w:rPr>
          <w:rFonts w:cs="Arial"/>
          <w:sz w:val="26"/>
          <w:szCs w:val="26"/>
        </w:rPr>
        <w:t>cerá</w:t>
      </w:r>
      <w:r w:rsidR="00B55EF3">
        <w:rPr>
          <w:rFonts w:cs="Arial"/>
          <w:sz w:val="26"/>
          <w:szCs w:val="26"/>
        </w:rPr>
        <w:t xml:space="preserve">n centros regionales en los distritos judiciales que </w:t>
      </w:r>
      <w:r w:rsidR="00802416">
        <w:rPr>
          <w:rFonts w:cs="Arial"/>
          <w:sz w:val="26"/>
          <w:szCs w:val="26"/>
        </w:rPr>
        <w:t xml:space="preserve">así </w:t>
      </w:r>
      <w:r w:rsidR="00B55EF3">
        <w:rPr>
          <w:rFonts w:cs="Arial"/>
          <w:sz w:val="26"/>
          <w:szCs w:val="26"/>
        </w:rPr>
        <w:t xml:space="preserve">lo requieran, previo cumplimiento del procedimiento previsto para tal efecto en la ley (art. </w:t>
      </w:r>
      <w:r w:rsidR="00802416">
        <w:rPr>
          <w:rFonts w:cs="Arial"/>
          <w:sz w:val="26"/>
          <w:szCs w:val="26"/>
        </w:rPr>
        <w:t>177</w:t>
      </w:r>
      <w:r w:rsidR="00B55EF3">
        <w:rPr>
          <w:rFonts w:cs="Arial"/>
          <w:sz w:val="26"/>
          <w:szCs w:val="26"/>
        </w:rPr>
        <w:t xml:space="preserve"> Ter). </w:t>
      </w:r>
      <w:r w:rsidR="004F0020">
        <w:rPr>
          <w:rFonts w:cs="Arial"/>
          <w:sz w:val="26"/>
          <w:szCs w:val="26"/>
        </w:rPr>
        <w:t>Finalmente</w:t>
      </w:r>
      <w:r w:rsidR="00B55EF3">
        <w:rPr>
          <w:rFonts w:cs="Arial"/>
          <w:sz w:val="26"/>
          <w:szCs w:val="26"/>
        </w:rPr>
        <w:t>,</w:t>
      </w:r>
      <w:r w:rsidR="00B97E6F">
        <w:rPr>
          <w:rFonts w:cs="Arial"/>
          <w:sz w:val="26"/>
          <w:szCs w:val="26"/>
        </w:rPr>
        <w:t xml:space="preserve"> se</w:t>
      </w:r>
      <w:r w:rsidR="00B55EF3">
        <w:rPr>
          <w:rFonts w:cs="Arial"/>
          <w:sz w:val="26"/>
          <w:szCs w:val="26"/>
        </w:rPr>
        <w:t xml:space="preserve"> </w:t>
      </w:r>
      <w:r w:rsidR="00B97E6F">
        <w:rPr>
          <w:rFonts w:cs="Arial"/>
          <w:sz w:val="26"/>
          <w:szCs w:val="26"/>
        </w:rPr>
        <w:t>establece</w:t>
      </w:r>
      <w:r w:rsidR="004F0020">
        <w:rPr>
          <w:rFonts w:cs="Arial"/>
          <w:sz w:val="26"/>
          <w:szCs w:val="26"/>
        </w:rPr>
        <w:t xml:space="preserve"> que </w:t>
      </w:r>
      <w:r w:rsidR="00B55EF3">
        <w:rPr>
          <w:rFonts w:cs="Arial"/>
          <w:sz w:val="26"/>
          <w:szCs w:val="26"/>
        </w:rPr>
        <w:t>el Centro ejerc</w:t>
      </w:r>
      <w:r w:rsidR="004F0020">
        <w:rPr>
          <w:rFonts w:cs="Arial"/>
          <w:sz w:val="26"/>
          <w:szCs w:val="26"/>
        </w:rPr>
        <w:t>erá</w:t>
      </w:r>
      <w:r w:rsidR="00B55EF3">
        <w:rPr>
          <w:rFonts w:cs="Arial"/>
          <w:sz w:val="26"/>
          <w:szCs w:val="26"/>
        </w:rPr>
        <w:t xml:space="preserve"> sus atribuciones a través de la estructura orgánica que el Consejo determin</w:t>
      </w:r>
      <w:r w:rsidR="004F0020">
        <w:rPr>
          <w:rFonts w:cs="Arial"/>
          <w:sz w:val="26"/>
          <w:szCs w:val="26"/>
        </w:rPr>
        <w:t>e</w:t>
      </w:r>
      <w:r w:rsidR="00B55EF3">
        <w:rPr>
          <w:rFonts w:cs="Arial"/>
          <w:sz w:val="26"/>
          <w:szCs w:val="26"/>
        </w:rPr>
        <w:t xml:space="preserve"> y conta</w:t>
      </w:r>
      <w:r w:rsidR="004F0020">
        <w:rPr>
          <w:rFonts w:cs="Arial"/>
          <w:sz w:val="26"/>
          <w:szCs w:val="26"/>
        </w:rPr>
        <w:t>rá</w:t>
      </w:r>
      <w:r w:rsidR="00B55EF3">
        <w:rPr>
          <w:rFonts w:cs="Arial"/>
          <w:sz w:val="26"/>
          <w:szCs w:val="26"/>
        </w:rPr>
        <w:t xml:space="preserve"> con el número necesario de personas traductoras e intérpretes que requiera cada distrito judicial (art. </w:t>
      </w:r>
      <w:r w:rsidR="004F0020">
        <w:rPr>
          <w:rFonts w:cs="Arial"/>
          <w:sz w:val="26"/>
          <w:szCs w:val="26"/>
        </w:rPr>
        <w:t>177</w:t>
      </w:r>
      <w:r w:rsidR="00B55EF3">
        <w:rPr>
          <w:rFonts w:cs="Arial"/>
          <w:sz w:val="26"/>
          <w:szCs w:val="26"/>
        </w:rPr>
        <w:t xml:space="preserve"> Quáter)</w:t>
      </w:r>
      <w:r w:rsidR="004F0020">
        <w:rPr>
          <w:rFonts w:cs="Arial"/>
          <w:sz w:val="26"/>
          <w:szCs w:val="26"/>
        </w:rPr>
        <w:t>.</w:t>
      </w:r>
      <w:r w:rsidR="0048166A">
        <w:rPr>
          <w:rFonts w:cs="Arial"/>
          <w:sz w:val="26"/>
          <w:szCs w:val="26"/>
        </w:rPr>
        <w:t xml:space="preserve"> </w:t>
      </w:r>
    </w:p>
    <w:p w:rsidR="001D7F75" w:rsidRDefault="004F0020" w:rsidP="004F0020">
      <w:pPr>
        <w:pStyle w:val="corte4fondo"/>
        <w:numPr>
          <w:ilvl w:val="2"/>
          <w:numId w:val="1"/>
        </w:numPr>
        <w:tabs>
          <w:tab w:val="left" w:pos="0"/>
        </w:tabs>
        <w:spacing w:after="360" w:line="360" w:lineRule="auto"/>
        <w:ind w:left="1134"/>
        <w:rPr>
          <w:rFonts w:cs="Arial"/>
          <w:sz w:val="26"/>
          <w:szCs w:val="26"/>
        </w:rPr>
      </w:pPr>
      <w:r>
        <w:rPr>
          <w:rFonts w:cs="Arial"/>
          <w:sz w:val="26"/>
          <w:szCs w:val="26"/>
        </w:rPr>
        <w:t>En tercer lugar</w:t>
      </w:r>
      <w:r w:rsidR="00C00BDA">
        <w:rPr>
          <w:rFonts w:cs="Arial"/>
          <w:sz w:val="26"/>
          <w:szCs w:val="26"/>
        </w:rPr>
        <w:t xml:space="preserve">, </w:t>
      </w:r>
      <w:r>
        <w:rPr>
          <w:rFonts w:cs="Arial"/>
          <w:sz w:val="26"/>
          <w:szCs w:val="26"/>
        </w:rPr>
        <w:t xml:space="preserve">el </w:t>
      </w:r>
      <w:r w:rsidR="002B4F1A" w:rsidRPr="001D7F75">
        <w:rPr>
          <w:rFonts w:cs="Arial"/>
          <w:sz w:val="26"/>
          <w:szCs w:val="26"/>
        </w:rPr>
        <w:t>artículo tercero transitorio</w:t>
      </w:r>
      <w:r w:rsidR="003644E3">
        <w:rPr>
          <w:rFonts w:cs="Arial"/>
          <w:sz w:val="26"/>
          <w:szCs w:val="26"/>
        </w:rPr>
        <w:t xml:space="preserve"> </w:t>
      </w:r>
      <w:r w:rsidR="009F0E77">
        <w:rPr>
          <w:rFonts w:cs="Arial"/>
          <w:sz w:val="26"/>
          <w:szCs w:val="26"/>
        </w:rPr>
        <w:t>del decreto impugnado</w:t>
      </w:r>
      <w:r w:rsidR="009F0E77" w:rsidRPr="001D7F75">
        <w:rPr>
          <w:rFonts w:cs="Arial"/>
          <w:sz w:val="26"/>
          <w:szCs w:val="26"/>
        </w:rPr>
        <w:t xml:space="preserve"> </w:t>
      </w:r>
      <w:r w:rsidR="002B4F1A">
        <w:rPr>
          <w:rFonts w:cs="Arial"/>
          <w:sz w:val="26"/>
          <w:szCs w:val="26"/>
        </w:rPr>
        <w:t xml:space="preserve">derogó </w:t>
      </w:r>
      <w:r w:rsidR="00A71D3F">
        <w:rPr>
          <w:rFonts w:cs="Arial"/>
          <w:sz w:val="26"/>
          <w:szCs w:val="26"/>
        </w:rPr>
        <w:t xml:space="preserve">el artículo segundo del recién referido </w:t>
      </w:r>
      <w:r w:rsidR="002F78D5">
        <w:rPr>
          <w:rFonts w:cs="Arial"/>
          <w:sz w:val="26"/>
          <w:szCs w:val="26"/>
        </w:rPr>
        <w:t xml:space="preserve">Decreto </w:t>
      </w:r>
      <w:r w:rsidR="00970A40">
        <w:rPr>
          <w:rFonts w:cs="Arial"/>
          <w:sz w:val="26"/>
          <w:szCs w:val="26"/>
        </w:rPr>
        <w:t>N</w:t>
      </w:r>
      <w:r w:rsidR="002F78D5">
        <w:rPr>
          <w:rFonts w:cs="Arial"/>
          <w:sz w:val="26"/>
          <w:szCs w:val="26"/>
        </w:rPr>
        <w:t>°</w:t>
      </w:r>
      <w:r w:rsidR="00970A40">
        <w:rPr>
          <w:rFonts w:cs="Arial"/>
          <w:sz w:val="26"/>
          <w:szCs w:val="26"/>
        </w:rPr>
        <w:t xml:space="preserve"> </w:t>
      </w:r>
      <w:r w:rsidR="00A30BDA">
        <w:rPr>
          <w:rFonts w:cs="Arial"/>
          <w:sz w:val="26"/>
          <w:szCs w:val="26"/>
        </w:rPr>
        <w:t>LXVI/RFLEY/0</w:t>
      </w:r>
      <w:r w:rsidR="002F78D5" w:rsidRPr="001D7F75">
        <w:rPr>
          <w:rFonts w:cs="Arial"/>
          <w:sz w:val="26"/>
          <w:szCs w:val="26"/>
        </w:rPr>
        <w:t>5</w:t>
      </w:r>
      <w:r w:rsidR="00A30BDA">
        <w:rPr>
          <w:rFonts w:cs="Arial"/>
          <w:sz w:val="26"/>
          <w:szCs w:val="26"/>
        </w:rPr>
        <w:t>13/2019 I P.O</w:t>
      </w:r>
      <w:r w:rsidR="002F78D5" w:rsidRPr="001D7F75">
        <w:rPr>
          <w:rFonts w:cs="Arial"/>
          <w:sz w:val="26"/>
          <w:szCs w:val="26"/>
        </w:rPr>
        <w:t>.</w:t>
      </w:r>
      <w:r w:rsidR="002F78D5">
        <w:rPr>
          <w:rFonts w:cs="Arial"/>
          <w:sz w:val="26"/>
          <w:szCs w:val="26"/>
        </w:rPr>
        <w:t xml:space="preserve"> </w:t>
      </w:r>
      <w:r w:rsidR="003644E3">
        <w:rPr>
          <w:rFonts w:cs="Arial"/>
          <w:sz w:val="26"/>
          <w:szCs w:val="26"/>
        </w:rPr>
        <w:t>(</w:t>
      </w:r>
      <w:r w:rsidR="004177E9">
        <w:rPr>
          <w:rFonts w:cs="Arial"/>
          <w:sz w:val="26"/>
          <w:szCs w:val="26"/>
        </w:rPr>
        <w:t xml:space="preserve">véase </w:t>
      </w:r>
      <w:r w:rsidR="003644E3" w:rsidRPr="003644E3">
        <w:rPr>
          <w:rFonts w:cs="Arial"/>
          <w:i/>
          <w:sz w:val="26"/>
          <w:szCs w:val="26"/>
        </w:rPr>
        <w:t>supra</w:t>
      </w:r>
      <w:r w:rsidR="003644E3">
        <w:rPr>
          <w:rFonts w:cs="Arial"/>
          <w:sz w:val="26"/>
          <w:szCs w:val="26"/>
        </w:rPr>
        <w:t xml:space="preserve"> </w:t>
      </w:r>
      <w:r w:rsidR="003644E3" w:rsidRPr="00A71D3F">
        <w:rPr>
          <w:rFonts w:cs="Arial"/>
          <w:b/>
          <w:sz w:val="26"/>
          <w:szCs w:val="26"/>
        </w:rPr>
        <w:t>B</w:t>
      </w:r>
      <w:r w:rsidR="00E47147">
        <w:rPr>
          <w:rFonts w:cs="Arial"/>
          <w:b/>
          <w:sz w:val="26"/>
          <w:szCs w:val="26"/>
        </w:rPr>
        <w:t>.2</w:t>
      </w:r>
      <w:r w:rsidR="003644E3">
        <w:rPr>
          <w:rFonts w:cs="Arial"/>
          <w:sz w:val="26"/>
          <w:szCs w:val="26"/>
        </w:rPr>
        <w:t>)</w:t>
      </w:r>
      <w:r w:rsidR="006F2208">
        <w:rPr>
          <w:rFonts w:cs="Arial"/>
          <w:sz w:val="26"/>
          <w:szCs w:val="26"/>
        </w:rPr>
        <w:t xml:space="preserve"> y, por consiguiente, </w:t>
      </w:r>
      <w:r w:rsidR="007F52B6">
        <w:rPr>
          <w:rFonts w:cs="Arial"/>
          <w:sz w:val="26"/>
          <w:szCs w:val="26"/>
        </w:rPr>
        <w:t xml:space="preserve">la adición de </w:t>
      </w:r>
      <w:r w:rsidR="006F2208">
        <w:rPr>
          <w:rFonts w:cs="Arial"/>
          <w:sz w:val="26"/>
          <w:szCs w:val="26"/>
        </w:rPr>
        <w:t xml:space="preserve">los artículos </w:t>
      </w:r>
      <w:r w:rsidR="006F2208" w:rsidRPr="001D7F75">
        <w:rPr>
          <w:rFonts w:cs="Arial"/>
          <w:sz w:val="26"/>
          <w:szCs w:val="26"/>
        </w:rPr>
        <w:t>151 Bis, 151 Ter y 151</w:t>
      </w:r>
      <w:r w:rsidR="006F2208">
        <w:rPr>
          <w:rFonts w:cs="Arial"/>
          <w:sz w:val="26"/>
          <w:szCs w:val="26"/>
        </w:rPr>
        <w:t xml:space="preserve"> Quáter</w:t>
      </w:r>
      <w:r w:rsidR="006F2208" w:rsidRPr="006F2208">
        <w:rPr>
          <w:rFonts w:cs="Arial"/>
          <w:sz w:val="26"/>
          <w:szCs w:val="26"/>
        </w:rPr>
        <w:t xml:space="preserve"> </w:t>
      </w:r>
      <w:r w:rsidR="007F52B6">
        <w:rPr>
          <w:rFonts w:cs="Arial"/>
          <w:sz w:val="26"/>
          <w:szCs w:val="26"/>
        </w:rPr>
        <w:t>a</w:t>
      </w:r>
      <w:r w:rsidR="006F2208">
        <w:rPr>
          <w:rFonts w:cs="Arial"/>
          <w:sz w:val="26"/>
          <w:szCs w:val="26"/>
        </w:rPr>
        <w:t xml:space="preserve"> la</w:t>
      </w:r>
      <w:r w:rsidR="00357612" w:rsidRPr="00357612">
        <w:rPr>
          <w:rFonts w:cs="Arial"/>
          <w:sz w:val="26"/>
          <w:szCs w:val="26"/>
        </w:rPr>
        <w:t xml:space="preserve"> </w:t>
      </w:r>
      <w:r w:rsidR="005A1525">
        <w:rPr>
          <w:rFonts w:cs="Arial"/>
          <w:sz w:val="26"/>
          <w:szCs w:val="26"/>
        </w:rPr>
        <w:t>l</w:t>
      </w:r>
      <w:r w:rsidR="00357612">
        <w:rPr>
          <w:rFonts w:cs="Arial"/>
          <w:sz w:val="26"/>
          <w:szCs w:val="26"/>
        </w:rPr>
        <w:t>ey</w:t>
      </w:r>
      <w:r w:rsidR="006F2208">
        <w:rPr>
          <w:rFonts w:cs="Arial"/>
          <w:sz w:val="26"/>
          <w:szCs w:val="26"/>
        </w:rPr>
        <w:t xml:space="preserve"> </w:t>
      </w:r>
      <w:r w:rsidR="005A1525">
        <w:rPr>
          <w:rFonts w:cs="Arial"/>
          <w:sz w:val="26"/>
          <w:szCs w:val="26"/>
        </w:rPr>
        <w:t>anterior</w:t>
      </w:r>
      <w:r w:rsidR="006F2208" w:rsidRPr="00894B94">
        <w:rPr>
          <w:rStyle w:val="Refdenotaalpie"/>
          <w:rFonts w:cs="Arial"/>
          <w:sz w:val="26"/>
          <w:szCs w:val="26"/>
        </w:rPr>
        <w:footnoteReference w:id="36"/>
      </w:r>
      <w:r w:rsidR="003644E3">
        <w:rPr>
          <w:rFonts w:cs="Arial"/>
          <w:sz w:val="26"/>
          <w:szCs w:val="26"/>
        </w:rPr>
        <w:t>.</w:t>
      </w:r>
    </w:p>
    <w:p w:rsidR="001D7F75" w:rsidRPr="00361A80" w:rsidRDefault="003A2C77" w:rsidP="0058530F">
      <w:pPr>
        <w:pStyle w:val="corte4fondo"/>
        <w:numPr>
          <w:ilvl w:val="1"/>
          <w:numId w:val="1"/>
        </w:numPr>
        <w:tabs>
          <w:tab w:val="left" w:pos="0"/>
        </w:tabs>
        <w:spacing w:after="360" w:line="360" w:lineRule="auto"/>
        <w:ind w:left="851"/>
        <w:rPr>
          <w:rFonts w:cs="Arial"/>
          <w:sz w:val="26"/>
          <w:szCs w:val="26"/>
        </w:rPr>
      </w:pPr>
      <w:bookmarkStart w:id="3" w:name="_Hlk51186727"/>
      <w:r>
        <w:rPr>
          <w:rFonts w:cs="Arial"/>
          <w:sz w:val="26"/>
          <w:szCs w:val="26"/>
        </w:rPr>
        <w:t>Por último, e</w:t>
      </w:r>
      <w:r w:rsidR="003644E3" w:rsidRPr="00A95E43">
        <w:rPr>
          <w:rFonts w:cs="Arial"/>
          <w:sz w:val="26"/>
          <w:szCs w:val="26"/>
        </w:rPr>
        <w:t xml:space="preserve">l </w:t>
      </w:r>
      <w:r w:rsidR="003644E3" w:rsidRPr="00345DD0">
        <w:rPr>
          <w:rFonts w:cs="Arial"/>
          <w:b/>
          <w:sz w:val="26"/>
          <w:szCs w:val="26"/>
        </w:rPr>
        <w:t>Decreto N° LXVI/RFLEY/0666/2020 III P.E.</w:t>
      </w:r>
      <w:r w:rsidR="00A71D3F" w:rsidRPr="00894B94">
        <w:rPr>
          <w:rStyle w:val="Refdenotaalpie"/>
          <w:rFonts w:cs="Arial"/>
          <w:sz w:val="26"/>
          <w:szCs w:val="26"/>
        </w:rPr>
        <w:footnoteReference w:id="37"/>
      </w:r>
      <w:r w:rsidR="003644E3" w:rsidRPr="00A95E43">
        <w:rPr>
          <w:rFonts w:cs="Arial"/>
          <w:sz w:val="26"/>
          <w:szCs w:val="26"/>
        </w:rPr>
        <w:t xml:space="preserve"> adicionó un párrafo tercero al artículo 18 de la Ley de Derechos de los </w:t>
      </w:r>
      <w:r w:rsidR="003644E3" w:rsidRPr="00A95E43">
        <w:rPr>
          <w:rFonts w:cs="Arial"/>
          <w:sz w:val="26"/>
          <w:szCs w:val="26"/>
        </w:rPr>
        <w:lastRenderedPageBreak/>
        <w:t>Pueblos Indígenas del Estado de Chihuahua</w:t>
      </w:r>
      <w:r w:rsidR="003644E3" w:rsidRPr="00894B94">
        <w:rPr>
          <w:rStyle w:val="Refdenotaalpie"/>
          <w:rFonts w:cs="Arial"/>
          <w:sz w:val="26"/>
          <w:szCs w:val="26"/>
        </w:rPr>
        <w:footnoteReference w:id="38"/>
      </w:r>
      <w:r w:rsidR="003644E3" w:rsidRPr="00A95E43">
        <w:rPr>
          <w:rFonts w:cs="Arial"/>
          <w:sz w:val="26"/>
          <w:szCs w:val="26"/>
        </w:rPr>
        <w:t>.</w:t>
      </w:r>
      <w:bookmarkEnd w:id="3"/>
      <w:r w:rsidR="001727EF">
        <w:rPr>
          <w:rFonts w:cs="Arial"/>
          <w:sz w:val="26"/>
          <w:szCs w:val="26"/>
        </w:rPr>
        <w:t xml:space="preserve"> En dicho precepto </w:t>
      </w:r>
      <w:r w:rsidR="00BB784F">
        <w:rPr>
          <w:rFonts w:cs="Arial"/>
          <w:sz w:val="26"/>
          <w:szCs w:val="26"/>
        </w:rPr>
        <w:t xml:space="preserve">legal </w:t>
      </w:r>
      <w:r w:rsidR="008D2E32">
        <w:rPr>
          <w:rFonts w:cs="Arial"/>
          <w:sz w:val="26"/>
          <w:szCs w:val="26"/>
        </w:rPr>
        <w:t xml:space="preserve">ahora </w:t>
      </w:r>
      <w:r w:rsidR="001727EF">
        <w:rPr>
          <w:rFonts w:cs="Arial"/>
          <w:sz w:val="26"/>
          <w:szCs w:val="26"/>
        </w:rPr>
        <w:t>se dispone</w:t>
      </w:r>
      <w:r>
        <w:rPr>
          <w:rFonts w:cs="Arial"/>
          <w:sz w:val="26"/>
          <w:szCs w:val="26"/>
        </w:rPr>
        <w:t xml:space="preserve"> que la información que </w:t>
      </w:r>
      <w:r w:rsidRPr="003A2C77">
        <w:rPr>
          <w:rFonts w:cs="Arial"/>
          <w:sz w:val="26"/>
          <w:szCs w:val="26"/>
          <w:lang w:val="es-MX"/>
        </w:rPr>
        <w:t>se difunda en las campañas de salud, tratamientos médicos o quirúrgicos a los pacientes, incluidas l</w:t>
      </w:r>
      <w:r>
        <w:rPr>
          <w:rFonts w:cs="Arial"/>
          <w:sz w:val="26"/>
          <w:szCs w:val="26"/>
          <w:lang w:val="es-MX"/>
        </w:rPr>
        <w:t>as autorizaciones para recibir é</w:t>
      </w:r>
      <w:r w:rsidRPr="003A2C77">
        <w:rPr>
          <w:rFonts w:cs="Arial"/>
          <w:sz w:val="26"/>
          <w:szCs w:val="26"/>
          <w:lang w:val="es-MX"/>
        </w:rPr>
        <w:t>stos, deberá traducirse a la lengua materna de acuerdo al pueblo indígena de que se trate</w:t>
      </w:r>
      <w:r w:rsidR="00F152FF">
        <w:rPr>
          <w:rFonts w:cs="Arial"/>
          <w:sz w:val="26"/>
          <w:szCs w:val="26"/>
        </w:rPr>
        <w:t>.</w:t>
      </w:r>
    </w:p>
    <w:p w:rsidR="001D7F75" w:rsidRDefault="001D7F75" w:rsidP="001D7F75">
      <w:pPr>
        <w:pStyle w:val="corte4fondo"/>
        <w:numPr>
          <w:ilvl w:val="0"/>
          <w:numId w:val="1"/>
        </w:numPr>
        <w:tabs>
          <w:tab w:val="clear" w:pos="-3"/>
          <w:tab w:val="left" w:pos="0"/>
        </w:tabs>
        <w:spacing w:after="360" w:line="360" w:lineRule="auto"/>
        <w:ind w:left="0" w:hanging="567"/>
        <w:rPr>
          <w:rFonts w:cs="Arial"/>
          <w:sz w:val="26"/>
          <w:szCs w:val="26"/>
        </w:rPr>
      </w:pPr>
      <w:r>
        <w:rPr>
          <w:rFonts w:cs="Arial"/>
          <w:b/>
          <w:sz w:val="26"/>
          <w:szCs w:val="26"/>
        </w:rPr>
        <w:t>Conceptos de invalidez</w:t>
      </w:r>
      <w:r w:rsidR="000C7A81" w:rsidRPr="00894B94">
        <w:rPr>
          <w:rStyle w:val="Refdenotaalpie"/>
          <w:rFonts w:cs="Arial"/>
          <w:sz w:val="26"/>
          <w:szCs w:val="26"/>
        </w:rPr>
        <w:footnoteReference w:id="39"/>
      </w:r>
      <w:r>
        <w:rPr>
          <w:rFonts w:cs="Arial"/>
          <w:b/>
          <w:sz w:val="26"/>
          <w:szCs w:val="26"/>
        </w:rPr>
        <w:t xml:space="preserve">. </w:t>
      </w:r>
      <w:r w:rsidR="00E9289F">
        <w:rPr>
          <w:rFonts w:cs="Arial"/>
          <w:sz w:val="26"/>
          <w:szCs w:val="26"/>
        </w:rPr>
        <w:t>Como ya se anticipó, l</w:t>
      </w:r>
      <w:r>
        <w:rPr>
          <w:rFonts w:cs="Arial"/>
          <w:sz w:val="26"/>
          <w:szCs w:val="26"/>
        </w:rPr>
        <w:t>a Comisión Nacional de los Derechos Humanos aduce que los decretos impugnados son inconstitucionales porque</w:t>
      </w:r>
      <w:r w:rsidR="00F7418C">
        <w:rPr>
          <w:rFonts w:cs="Arial"/>
          <w:sz w:val="26"/>
          <w:szCs w:val="26"/>
        </w:rPr>
        <w:t xml:space="preserve"> </w:t>
      </w:r>
      <w:r w:rsidR="0087255D">
        <w:rPr>
          <w:rFonts w:cs="Arial"/>
          <w:sz w:val="26"/>
          <w:szCs w:val="26"/>
        </w:rPr>
        <w:t>las</w:t>
      </w:r>
      <w:r>
        <w:rPr>
          <w:rFonts w:cs="Arial"/>
          <w:sz w:val="26"/>
          <w:szCs w:val="26"/>
        </w:rPr>
        <w:t xml:space="preserve"> </w:t>
      </w:r>
      <w:r w:rsidR="0087255D">
        <w:rPr>
          <w:rFonts w:cs="Arial"/>
          <w:sz w:val="26"/>
          <w:szCs w:val="26"/>
        </w:rPr>
        <w:t>autoridades responsables omitieron</w:t>
      </w:r>
      <w:r>
        <w:rPr>
          <w:rFonts w:cs="Arial"/>
          <w:sz w:val="26"/>
          <w:szCs w:val="26"/>
        </w:rPr>
        <w:t xml:space="preserve"> llevar a cabo los </w:t>
      </w:r>
      <w:r w:rsidR="000C7A81">
        <w:rPr>
          <w:rFonts w:cs="Arial"/>
          <w:sz w:val="26"/>
          <w:szCs w:val="26"/>
        </w:rPr>
        <w:t xml:space="preserve">respectivos </w:t>
      </w:r>
      <w:r>
        <w:rPr>
          <w:rFonts w:cs="Arial"/>
          <w:sz w:val="26"/>
          <w:szCs w:val="26"/>
        </w:rPr>
        <w:t xml:space="preserve">procedimientos de consulta que el parámetro de regularidad constitucional </w:t>
      </w:r>
      <w:r w:rsidR="00F7418C">
        <w:rPr>
          <w:rFonts w:cs="Arial"/>
          <w:sz w:val="26"/>
          <w:szCs w:val="26"/>
        </w:rPr>
        <w:t>req</w:t>
      </w:r>
      <w:r w:rsidR="00BD5A04">
        <w:rPr>
          <w:rFonts w:cs="Arial"/>
          <w:sz w:val="26"/>
          <w:szCs w:val="26"/>
        </w:rPr>
        <w:t>u</w:t>
      </w:r>
      <w:r w:rsidR="0057176D">
        <w:rPr>
          <w:rFonts w:cs="Arial"/>
          <w:sz w:val="26"/>
          <w:szCs w:val="26"/>
        </w:rPr>
        <w:t>iere</w:t>
      </w:r>
      <w:r w:rsidR="00F7418C">
        <w:rPr>
          <w:rFonts w:cs="Arial"/>
          <w:sz w:val="26"/>
          <w:szCs w:val="26"/>
        </w:rPr>
        <w:t xml:space="preserve"> </w:t>
      </w:r>
      <w:r>
        <w:rPr>
          <w:rFonts w:cs="Arial"/>
          <w:sz w:val="26"/>
          <w:szCs w:val="26"/>
        </w:rPr>
        <w:t xml:space="preserve">para </w:t>
      </w:r>
      <w:r w:rsidR="002E7B06">
        <w:rPr>
          <w:rFonts w:cs="Arial"/>
          <w:sz w:val="26"/>
          <w:szCs w:val="26"/>
        </w:rPr>
        <w:t>expedir</w:t>
      </w:r>
      <w:r>
        <w:rPr>
          <w:rFonts w:cs="Arial"/>
          <w:sz w:val="26"/>
          <w:szCs w:val="26"/>
        </w:rPr>
        <w:t xml:space="preserve"> </w:t>
      </w:r>
      <w:r w:rsidR="00044355">
        <w:rPr>
          <w:rFonts w:cs="Arial"/>
          <w:sz w:val="26"/>
          <w:szCs w:val="26"/>
        </w:rPr>
        <w:t>normas</w:t>
      </w:r>
      <w:r>
        <w:rPr>
          <w:rFonts w:cs="Arial"/>
          <w:sz w:val="26"/>
          <w:szCs w:val="26"/>
        </w:rPr>
        <w:t xml:space="preserve"> con ese contenido</w:t>
      </w:r>
      <w:r w:rsidRPr="00697B9C">
        <w:rPr>
          <w:rFonts w:cs="Arial"/>
          <w:sz w:val="26"/>
          <w:szCs w:val="26"/>
        </w:rPr>
        <w:t>.</w:t>
      </w:r>
    </w:p>
    <w:p w:rsidR="001C5355" w:rsidRPr="002E7B06" w:rsidRDefault="00C5689D" w:rsidP="002E7B06">
      <w:pPr>
        <w:pStyle w:val="corte4fondo"/>
        <w:numPr>
          <w:ilvl w:val="0"/>
          <w:numId w:val="1"/>
        </w:numPr>
        <w:tabs>
          <w:tab w:val="clear" w:pos="-3"/>
          <w:tab w:val="left" w:pos="0"/>
        </w:tabs>
        <w:spacing w:after="360" w:line="360" w:lineRule="auto"/>
        <w:ind w:left="0" w:hanging="567"/>
        <w:rPr>
          <w:rFonts w:cs="Arial"/>
          <w:sz w:val="26"/>
          <w:szCs w:val="26"/>
        </w:rPr>
      </w:pPr>
      <w:r>
        <w:rPr>
          <w:rFonts w:cs="Arial"/>
          <w:sz w:val="26"/>
          <w:szCs w:val="26"/>
        </w:rPr>
        <w:t>Por una parte</w:t>
      </w:r>
      <w:r w:rsidR="00283596" w:rsidRPr="00982764">
        <w:rPr>
          <w:rFonts w:cs="Arial"/>
          <w:sz w:val="26"/>
          <w:szCs w:val="26"/>
        </w:rPr>
        <w:t>,</w:t>
      </w:r>
      <w:r w:rsidR="00283596">
        <w:rPr>
          <w:rFonts w:cs="Arial"/>
          <w:sz w:val="26"/>
          <w:szCs w:val="26"/>
        </w:rPr>
        <w:t xml:space="preserve"> </w:t>
      </w:r>
      <w:r w:rsidR="00780E7C">
        <w:rPr>
          <w:rFonts w:cs="Arial"/>
          <w:bCs/>
          <w:sz w:val="26"/>
          <w:szCs w:val="26"/>
        </w:rPr>
        <w:t>señala</w:t>
      </w:r>
      <w:r w:rsidR="00283596" w:rsidRPr="000033F2">
        <w:rPr>
          <w:rFonts w:cs="Arial"/>
          <w:bCs/>
          <w:sz w:val="26"/>
          <w:szCs w:val="26"/>
        </w:rPr>
        <w:t xml:space="preserve"> que </w:t>
      </w:r>
      <w:r w:rsidR="002E7B06">
        <w:rPr>
          <w:rFonts w:cs="Arial"/>
          <w:bCs/>
          <w:sz w:val="26"/>
          <w:szCs w:val="26"/>
        </w:rPr>
        <w:t xml:space="preserve">todos </w:t>
      </w:r>
      <w:r w:rsidR="00283596" w:rsidRPr="000033F2">
        <w:rPr>
          <w:rFonts w:cs="Arial"/>
          <w:bCs/>
          <w:sz w:val="26"/>
          <w:szCs w:val="26"/>
        </w:rPr>
        <w:t>l</w:t>
      </w:r>
      <w:r w:rsidR="00283596" w:rsidRPr="000033F2">
        <w:rPr>
          <w:rFonts w:cs="Arial"/>
          <w:sz w:val="26"/>
          <w:szCs w:val="26"/>
        </w:rPr>
        <w:t>os decretos impugnados vulneran el derecho a la consulta de los pueblos y comunidades indígenas</w:t>
      </w:r>
      <w:r w:rsidR="00E32F8F">
        <w:rPr>
          <w:rFonts w:cs="Arial"/>
          <w:sz w:val="26"/>
          <w:szCs w:val="26"/>
        </w:rPr>
        <w:t xml:space="preserve"> </w:t>
      </w:r>
      <w:r w:rsidR="0032464F">
        <w:rPr>
          <w:rFonts w:cs="Arial"/>
          <w:sz w:val="26"/>
          <w:szCs w:val="26"/>
        </w:rPr>
        <w:t>del Estado de Chihuahua</w:t>
      </w:r>
      <w:r w:rsidR="00283596" w:rsidRPr="000033F2">
        <w:rPr>
          <w:rFonts w:cs="Arial"/>
          <w:sz w:val="26"/>
          <w:szCs w:val="26"/>
        </w:rPr>
        <w:t xml:space="preserve"> reconocido </w:t>
      </w:r>
      <w:r w:rsidR="009A7AE2">
        <w:rPr>
          <w:rFonts w:cs="Arial"/>
          <w:sz w:val="26"/>
          <w:szCs w:val="26"/>
        </w:rPr>
        <w:t xml:space="preserve">en </w:t>
      </w:r>
      <w:r w:rsidR="00636A6F">
        <w:rPr>
          <w:rFonts w:cs="Arial"/>
          <w:sz w:val="26"/>
          <w:szCs w:val="26"/>
        </w:rPr>
        <w:t>el</w:t>
      </w:r>
      <w:r w:rsidR="009A7AE2">
        <w:rPr>
          <w:rFonts w:cs="Arial"/>
          <w:sz w:val="26"/>
          <w:szCs w:val="26"/>
        </w:rPr>
        <w:t xml:space="preserve"> art</w:t>
      </w:r>
      <w:r w:rsidR="00636A6F">
        <w:rPr>
          <w:rFonts w:cs="Arial"/>
          <w:sz w:val="26"/>
          <w:szCs w:val="26"/>
        </w:rPr>
        <w:t>ículo</w:t>
      </w:r>
      <w:r w:rsidR="009A7AE2">
        <w:rPr>
          <w:rFonts w:cs="Arial"/>
          <w:sz w:val="26"/>
          <w:szCs w:val="26"/>
        </w:rPr>
        <w:t xml:space="preserve"> </w:t>
      </w:r>
      <w:r w:rsidR="00283596">
        <w:rPr>
          <w:rFonts w:cs="Arial"/>
          <w:sz w:val="26"/>
          <w:szCs w:val="26"/>
        </w:rPr>
        <w:t>2</w:t>
      </w:r>
      <w:r w:rsidR="00B7188E">
        <w:rPr>
          <w:rFonts w:cs="Arial"/>
          <w:sz w:val="26"/>
          <w:szCs w:val="26"/>
        </w:rPr>
        <w:t>°</w:t>
      </w:r>
      <w:r w:rsidR="00283596">
        <w:rPr>
          <w:rFonts w:cs="Arial"/>
          <w:sz w:val="26"/>
          <w:szCs w:val="26"/>
        </w:rPr>
        <w:t xml:space="preserve"> de la Constitución Federal</w:t>
      </w:r>
      <w:r w:rsidR="00283596" w:rsidRPr="00894B94">
        <w:rPr>
          <w:rStyle w:val="Refdenotaalpie"/>
          <w:rFonts w:cs="Arial"/>
          <w:sz w:val="26"/>
          <w:szCs w:val="26"/>
          <w:lang w:eastAsia="es-MX"/>
        </w:rPr>
        <w:footnoteReference w:id="40"/>
      </w:r>
      <w:r w:rsidR="00B7188E">
        <w:rPr>
          <w:rFonts w:cs="Arial"/>
          <w:sz w:val="26"/>
          <w:szCs w:val="26"/>
        </w:rPr>
        <w:t>, as</w:t>
      </w:r>
      <w:r w:rsidR="004710E4">
        <w:rPr>
          <w:rFonts w:cs="Arial"/>
          <w:sz w:val="26"/>
          <w:szCs w:val="26"/>
        </w:rPr>
        <w:t xml:space="preserve">í </w:t>
      </w:r>
      <w:r w:rsidR="004710E4">
        <w:rPr>
          <w:rFonts w:cs="Arial"/>
          <w:sz w:val="26"/>
          <w:szCs w:val="26"/>
        </w:rPr>
        <w:lastRenderedPageBreak/>
        <w:t>como</w:t>
      </w:r>
      <w:r w:rsidR="00636A6F">
        <w:rPr>
          <w:rFonts w:cs="Arial"/>
          <w:sz w:val="26"/>
          <w:szCs w:val="26"/>
        </w:rPr>
        <w:t xml:space="preserve"> en los artículos</w:t>
      </w:r>
      <w:r w:rsidR="00B7188E">
        <w:rPr>
          <w:rFonts w:cs="Arial"/>
          <w:sz w:val="26"/>
          <w:szCs w:val="26"/>
        </w:rPr>
        <w:t xml:space="preserve"> </w:t>
      </w:r>
      <w:r w:rsidR="004710E4">
        <w:rPr>
          <w:rFonts w:cs="Arial"/>
          <w:sz w:val="26"/>
          <w:szCs w:val="26"/>
        </w:rPr>
        <w:t>6</w:t>
      </w:r>
      <w:r w:rsidR="00B7188E">
        <w:rPr>
          <w:rFonts w:cs="Arial"/>
          <w:sz w:val="26"/>
          <w:szCs w:val="26"/>
        </w:rPr>
        <w:t xml:space="preserve"> y</w:t>
      </w:r>
      <w:r w:rsidR="0008400F">
        <w:rPr>
          <w:rFonts w:cs="Arial"/>
          <w:sz w:val="26"/>
          <w:szCs w:val="26"/>
        </w:rPr>
        <w:t xml:space="preserve"> </w:t>
      </w:r>
      <w:r w:rsidR="004710E4">
        <w:rPr>
          <w:rFonts w:cs="Arial"/>
          <w:sz w:val="26"/>
          <w:szCs w:val="26"/>
        </w:rPr>
        <w:t>7</w:t>
      </w:r>
      <w:r w:rsidR="00283596" w:rsidRPr="000033F2">
        <w:rPr>
          <w:rFonts w:cs="Arial"/>
          <w:sz w:val="26"/>
          <w:szCs w:val="26"/>
        </w:rPr>
        <w:t xml:space="preserve"> del Convenio 169 de la O</w:t>
      </w:r>
      <w:r w:rsidR="0008400F">
        <w:rPr>
          <w:rFonts w:cs="Arial"/>
          <w:sz w:val="26"/>
          <w:szCs w:val="26"/>
        </w:rPr>
        <w:t>I</w:t>
      </w:r>
      <w:r w:rsidR="00283596" w:rsidRPr="000033F2">
        <w:rPr>
          <w:rFonts w:cs="Arial"/>
          <w:sz w:val="26"/>
          <w:szCs w:val="26"/>
        </w:rPr>
        <w:t>T</w:t>
      </w:r>
      <w:r w:rsidR="00B7188E" w:rsidRPr="00894B94">
        <w:rPr>
          <w:rStyle w:val="Refdenotaalpie"/>
          <w:rFonts w:cs="Arial"/>
          <w:sz w:val="26"/>
          <w:szCs w:val="26"/>
        </w:rPr>
        <w:footnoteReference w:id="41"/>
      </w:r>
      <w:r w:rsidR="00780E7C">
        <w:rPr>
          <w:rFonts w:cs="Arial"/>
          <w:sz w:val="26"/>
          <w:szCs w:val="26"/>
        </w:rPr>
        <w:t>, pues introducen modificaciones legislativas que</w:t>
      </w:r>
      <w:r w:rsidR="001C5355" w:rsidRPr="002E7B06">
        <w:rPr>
          <w:rFonts w:cs="Arial"/>
          <w:sz w:val="26"/>
          <w:szCs w:val="26"/>
        </w:rPr>
        <w:t xml:space="preserve"> impactan significativamente </w:t>
      </w:r>
      <w:r w:rsidR="00F004BB">
        <w:rPr>
          <w:rFonts w:cs="Arial"/>
          <w:sz w:val="26"/>
          <w:szCs w:val="26"/>
        </w:rPr>
        <w:t>los intereses de</w:t>
      </w:r>
      <w:r w:rsidR="001C5355" w:rsidRPr="002E7B06">
        <w:rPr>
          <w:rFonts w:cs="Arial"/>
          <w:sz w:val="26"/>
          <w:szCs w:val="26"/>
        </w:rPr>
        <w:t xml:space="preserve"> las comunidades originarias</w:t>
      </w:r>
      <w:r w:rsidR="004F18B2">
        <w:rPr>
          <w:rFonts w:cs="Arial"/>
          <w:sz w:val="26"/>
          <w:szCs w:val="26"/>
        </w:rPr>
        <w:t xml:space="preserve"> de esa entidad federativa </w:t>
      </w:r>
      <w:r w:rsidR="00780E7C">
        <w:rPr>
          <w:rFonts w:cs="Arial"/>
          <w:sz w:val="26"/>
          <w:szCs w:val="26"/>
        </w:rPr>
        <w:t xml:space="preserve">sin que se hubiera </w:t>
      </w:r>
      <w:r w:rsidR="00780E7C">
        <w:rPr>
          <w:rFonts w:cs="Arial"/>
          <w:sz w:val="26"/>
          <w:szCs w:val="26"/>
        </w:rPr>
        <w:lastRenderedPageBreak/>
        <w:t xml:space="preserve">llevado a cabo un procedimiento </w:t>
      </w:r>
      <w:r>
        <w:rPr>
          <w:rFonts w:cs="Arial"/>
          <w:sz w:val="26"/>
          <w:szCs w:val="26"/>
        </w:rPr>
        <w:t>para</w:t>
      </w:r>
      <w:r w:rsidR="00780E7C">
        <w:rPr>
          <w:rFonts w:cs="Arial"/>
          <w:sz w:val="26"/>
          <w:szCs w:val="26"/>
        </w:rPr>
        <w:t xml:space="preserve"> consulta</w:t>
      </w:r>
      <w:r>
        <w:rPr>
          <w:rFonts w:cs="Arial"/>
          <w:sz w:val="26"/>
          <w:szCs w:val="26"/>
        </w:rPr>
        <w:t>rlas</w:t>
      </w:r>
      <w:r w:rsidR="00F004BB">
        <w:rPr>
          <w:rFonts w:cs="Arial"/>
          <w:sz w:val="26"/>
          <w:szCs w:val="26"/>
        </w:rPr>
        <w:t xml:space="preserve"> al respecto</w:t>
      </w:r>
      <w:r w:rsidR="00780E7C">
        <w:rPr>
          <w:rFonts w:cs="Arial"/>
          <w:sz w:val="26"/>
          <w:szCs w:val="26"/>
        </w:rPr>
        <w:t>.</w:t>
      </w:r>
      <w:r w:rsidR="001C5355" w:rsidRPr="002E7B06">
        <w:rPr>
          <w:rFonts w:cs="Arial"/>
          <w:sz w:val="26"/>
          <w:szCs w:val="26"/>
        </w:rPr>
        <w:t xml:space="preserve"> </w:t>
      </w:r>
      <w:r w:rsidR="00780E7C">
        <w:rPr>
          <w:rFonts w:cs="Arial"/>
          <w:sz w:val="26"/>
          <w:szCs w:val="26"/>
        </w:rPr>
        <w:t>Explica</w:t>
      </w:r>
      <w:r w:rsidR="001C5355" w:rsidRPr="002E7B06">
        <w:rPr>
          <w:rFonts w:cs="Arial"/>
          <w:sz w:val="26"/>
          <w:szCs w:val="26"/>
        </w:rPr>
        <w:t xml:space="preserve"> que</w:t>
      </w:r>
      <w:r w:rsidR="00780E7C">
        <w:rPr>
          <w:rFonts w:cs="Arial"/>
          <w:sz w:val="26"/>
          <w:szCs w:val="26"/>
        </w:rPr>
        <w:t xml:space="preserve"> como las reformas</w:t>
      </w:r>
      <w:r w:rsidR="001C5355" w:rsidRPr="002E7B06">
        <w:rPr>
          <w:rFonts w:cs="Arial"/>
          <w:sz w:val="26"/>
          <w:szCs w:val="26"/>
        </w:rPr>
        <w:t xml:space="preserve"> versa</w:t>
      </w:r>
      <w:r>
        <w:rPr>
          <w:rFonts w:cs="Arial"/>
          <w:sz w:val="26"/>
          <w:szCs w:val="26"/>
        </w:rPr>
        <w:t>ba</w:t>
      </w:r>
      <w:r w:rsidR="001C5355" w:rsidRPr="002E7B06">
        <w:rPr>
          <w:rFonts w:cs="Arial"/>
          <w:sz w:val="26"/>
          <w:szCs w:val="26"/>
        </w:rPr>
        <w:t>n sobre la garantía</w:t>
      </w:r>
      <w:r>
        <w:rPr>
          <w:rFonts w:cs="Arial"/>
          <w:sz w:val="26"/>
          <w:szCs w:val="26"/>
        </w:rPr>
        <w:t xml:space="preserve"> para dichos grupos</w:t>
      </w:r>
      <w:r w:rsidR="001C5355" w:rsidRPr="002E7B06">
        <w:rPr>
          <w:rFonts w:cs="Arial"/>
          <w:sz w:val="26"/>
          <w:szCs w:val="26"/>
        </w:rPr>
        <w:t xml:space="preserve"> de contar con </w:t>
      </w:r>
      <w:r w:rsidR="00DF1C0F">
        <w:rPr>
          <w:rFonts w:cs="Arial"/>
          <w:sz w:val="26"/>
          <w:szCs w:val="26"/>
        </w:rPr>
        <w:t xml:space="preserve">(i) </w:t>
      </w:r>
      <w:r w:rsidR="001C5355" w:rsidRPr="002E7B06">
        <w:rPr>
          <w:rFonts w:cs="Arial"/>
          <w:sz w:val="26"/>
          <w:szCs w:val="26"/>
        </w:rPr>
        <w:t xml:space="preserve">asistencia </w:t>
      </w:r>
      <w:r w:rsidR="00DF1C0F">
        <w:rPr>
          <w:rFonts w:cs="Arial"/>
          <w:sz w:val="26"/>
          <w:szCs w:val="26"/>
        </w:rPr>
        <w:t>de traductores e intérpretes en</w:t>
      </w:r>
      <w:r w:rsidR="001C5355" w:rsidRPr="002E7B06">
        <w:rPr>
          <w:rFonts w:cs="Arial"/>
          <w:sz w:val="26"/>
          <w:szCs w:val="26"/>
        </w:rPr>
        <w:t xml:space="preserve"> los procedimientos jurisdiccionales y administrativos de los que sean parte y (ii) la traducción </w:t>
      </w:r>
      <w:r w:rsidR="00F004BB">
        <w:rPr>
          <w:rFonts w:cs="Arial"/>
          <w:sz w:val="26"/>
          <w:szCs w:val="26"/>
        </w:rPr>
        <w:t xml:space="preserve">a su lengua materna </w:t>
      </w:r>
      <w:r w:rsidR="001C5355" w:rsidRPr="002E7B06">
        <w:rPr>
          <w:rFonts w:cs="Arial"/>
          <w:sz w:val="26"/>
          <w:szCs w:val="26"/>
        </w:rPr>
        <w:t>de información en materia de salud</w:t>
      </w:r>
      <w:r w:rsidR="00780E7C">
        <w:rPr>
          <w:rFonts w:cs="Arial"/>
          <w:sz w:val="26"/>
          <w:szCs w:val="26"/>
        </w:rPr>
        <w:t>,</w:t>
      </w:r>
      <w:r w:rsidR="00DF1C0F">
        <w:rPr>
          <w:rFonts w:cs="Arial"/>
          <w:sz w:val="26"/>
          <w:szCs w:val="26"/>
        </w:rPr>
        <w:t xml:space="preserve"> aquéllas impactaban</w:t>
      </w:r>
      <w:r w:rsidR="00C145BA">
        <w:rPr>
          <w:rFonts w:cs="Arial"/>
          <w:sz w:val="26"/>
          <w:szCs w:val="26"/>
        </w:rPr>
        <w:t xml:space="preserve"> sustancialmente en la regulación y el reconocimiento de sus derechos fundamentales de acceso a la justicia y a la salud</w:t>
      </w:r>
      <w:r w:rsidR="00DF1C0F">
        <w:rPr>
          <w:rFonts w:cs="Arial"/>
          <w:sz w:val="26"/>
          <w:szCs w:val="26"/>
        </w:rPr>
        <w:t xml:space="preserve">. </w:t>
      </w:r>
      <w:r w:rsidR="008A3340">
        <w:rPr>
          <w:rFonts w:cs="Arial"/>
          <w:sz w:val="26"/>
          <w:szCs w:val="26"/>
        </w:rPr>
        <w:t>Afirma, p</w:t>
      </w:r>
      <w:r w:rsidR="00D44959">
        <w:rPr>
          <w:rFonts w:cs="Arial"/>
          <w:sz w:val="26"/>
          <w:szCs w:val="26"/>
        </w:rPr>
        <w:t xml:space="preserve">or </w:t>
      </w:r>
      <w:r w:rsidR="008A3340">
        <w:rPr>
          <w:rFonts w:cs="Arial"/>
          <w:sz w:val="26"/>
          <w:szCs w:val="26"/>
        </w:rPr>
        <w:t>ende</w:t>
      </w:r>
      <w:r w:rsidR="00D44959">
        <w:rPr>
          <w:rFonts w:cs="Arial"/>
          <w:sz w:val="26"/>
          <w:szCs w:val="26"/>
        </w:rPr>
        <w:t>,</w:t>
      </w:r>
      <w:r w:rsidR="008A3340">
        <w:rPr>
          <w:rFonts w:cs="Arial"/>
          <w:sz w:val="26"/>
          <w:szCs w:val="26"/>
        </w:rPr>
        <w:t xml:space="preserve"> que</w:t>
      </w:r>
      <w:r w:rsidR="00D44959">
        <w:rPr>
          <w:rFonts w:cs="Arial"/>
          <w:sz w:val="26"/>
          <w:szCs w:val="26"/>
        </w:rPr>
        <w:t xml:space="preserve"> p</w:t>
      </w:r>
      <w:r w:rsidR="00DF1C0F">
        <w:rPr>
          <w:rFonts w:cs="Arial"/>
          <w:sz w:val="26"/>
          <w:szCs w:val="26"/>
        </w:rPr>
        <w:t xml:space="preserve">ara expedir </w:t>
      </w:r>
      <w:r w:rsidR="007A38B4">
        <w:rPr>
          <w:rFonts w:cs="Arial"/>
          <w:sz w:val="26"/>
          <w:szCs w:val="26"/>
        </w:rPr>
        <w:t>tales</w:t>
      </w:r>
      <w:r w:rsidR="00DF1C0F">
        <w:rPr>
          <w:rFonts w:cs="Arial"/>
          <w:sz w:val="26"/>
          <w:szCs w:val="26"/>
        </w:rPr>
        <w:t xml:space="preserve"> normas</w:t>
      </w:r>
      <w:r w:rsidR="001C5355" w:rsidRPr="002E7B06">
        <w:rPr>
          <w:rFonts w:cs="Arial"/>
          <w:sz w:val="26"/>
          <w:szCs w:val="26"/>
        </w:rPr>
        <w:t xml:space="preserve"> el Estado</w:t>
      </w:r>
      <w:r w:rsidR="00405527">
        <w:rPr>
          <w:rFonts w:cs="Arial"/>
          <w:sz w:val="26"/>
          <w:szCs w:val="26"/>
        </w:rPr>
        <w:t xml:space="preserve"> de Chihuahua</w:t>
      </w:r>
      <w:r w:rsidR="001C5355" w:rsidRPr="002E7B06">
        <w:rPr>
          <w:rFonts w:cs="Arial"/>
          <w:sz w:val="26"/>
          <w:szCs w:val="26"/>
        </w:rPr>
        <w:t xml:space="preserve"> tenía la obligación de consultar a dicho</w:t>
      </w:r>
      <w:r w:rsidR="008F535B">
        <w:rPr>
          <w:rFonts w:cs="Arial"/>
          <w:sz w:val="26"/>
          <w:szCs w:val="26"/>
        </w:rPr>
        <w:t>s</w:t>
      </w:r>
      <w:r w:rsidR="001C5355" w:rsidRPr="002E7B06">
        <w:rPr>
          <w:rFonts w:cs="Arial"/>
          <w:sz w:val="26"/>
          <w:szCs w:val="26"/>
        </w:rPr>
        <w:t xml:space="preserve"> grupo</w:t>
      </w:r>
      <w:r w:rsidR="008F535B">
        <w:rPr>
          <w:rFonts w:cs="Arial"/>
          <w:sz w:val="26"/>
          <w:szCs w:val="26"/>
        </w:rPr>
        <w:t>s</w:t>
      </w:r>
      <w:r w:rsidR="001C5355" w:rsidRPr="002E7B06">
        <w:rPr>
          <w:rFonts w:cs="Arial"/>
          <w:sz w:val="26"/>
          <w:szCs w:val="26"/>
        </w:rPr>
        <w:t xml:space="preserve"> social</w:t>
      </w:r>
      <w:r w:rsidR="008F535B">
        <w:rPr>
          <w:rFonts w:cs="Arial"/>
          <w:sz w:val="26"/>
          <w:szCs w:val="26"/>
        </w:rPr>
        <w:t>es</w:t>
      </w:r>
      <w:r w:rsidR="001C5355" w:rsidRPr="002E7B06">
        <w:rPr>
          <w:rFonts w:cs="Arial"/>
          <w:sz w:val="26"/>
          <w:szCs w:val="26"/>
        </w:rPr>
        <w:t xml:space="preserve"> de manera previa, libre, informada, culturalmente adecua</w:t>
      </w:r>
      <w:r w:rsidR="00780E7C">
        <w:rPr>
          <w:rFonts w:cs="Arial"/>
          <w:sz w:val="26"/>
          <w:szCs w:val="26"/>
        </w:rPr>
        <w:t>da y de buena fe</w:t>
      </w:r>
      <w:r w:rsidR="001C5355" w:rsidRPr="002E7B06">
        <w:rPr>
          <w:rFonts w:cs="Arial"/>
          <w:sz w:val="26"/>
          <w:szCs w:val="26"/>
        </w:rPr>
        <w:t xml:space="preserve">. </w:t>
      </w:r>
      <w:r w:rsidR="002E7B06">
        <w:rPr>
          <w:rFonts w:cs="Arial"/>
          <w:sz w:val="26"/>
          <w:szCs w:val="26"/>
        </w:rPr>
        <w:t>A</w:t>
      </w:r>
      <w:r w:rsidR="001C5355" w:rsidRPr="002E7B06">
        <w:rPr>
          <w:rFonts w:cs="Arial"/>
          <w:sz w:val="26"/>
          <w:szCs w:val="26"/>
        </w:rPr>
        <w:t>duce que si bien p</w:t>
      </w:r>
      <w:r w:rsidR="00816AA6">
        <w:rPr>
          <w:rFonts w:cs="Arial"/>
          <w:sz w:val="26"/>
          <w:szCs w:val="26"/>
        </w:rPr>
        <w:t>udiera</w:t>
      </w:r>
      <w:r w:rsidR="001C5355" w:rsidRPr="002E7B06">
        <w:rPr>
          <w:rFonts w:cs="Arial"/>
          <w:sz w:val="26"/>
          <w:szCs w:val="26"/>
        </w:rPr>
        <w:t xml:space="preserve"> afirmarse que las reformas impugnadas son benéfica</w:t>
      </w:r>
      <w:r w:rsidR="007A4A76">
        <w:rPr>
          <w:rFonts w:cs="Arial"/>
          <w:sz w:val="26"/>
          <w:szCs w:val="26"/>
        </w:rPr>
        <w:t xml:space="preserve">s para las personas que se </w:t>
      </w:r>
      <w:proofErr w:type="spellStart"/>
      <w:r w:rsidR="007A4A76">
        <w:rPr>
          <w:rFonts w:cs="Arial"/>
          <w:sz w:val="26"/>
          <w:szCs w:val="26"/>
        </w:rPr>
        <w:t>auto</w:t>
      </w:r>
      <w:r w:rsidR="001C5355" w:rsidRPr="002E7B06">
        <w:rPr>
          <w:rFonts w:cs="Arial"/>
          <w:sz w:val="26"/>
          <w:szCs w:val="26"/>
        </w:rPr>
        <w:t>adscriben</w:t>
      </w:r>
      <w:proofErr w:type="spellEnd"/>
      <w:r w:rsidR="001C5355" w:rsidRPr="002E7B06">
        <w:rPr>
          <w:rFonts w:cs="Arial"/>
          <w:sz w:val="26"/>
          <w:szCs w:val="26"/>
        </w:rPr>
        <w:t xml:space="preserve"> como indígenas, no puede soslayarse que a nivel convencional dicho sector social cuenta con el derecho a ser consultado precisamente para que ellos definan si </w:t>
      </w:r>
      <w:r w:rsidR="007A38B4" w:rsidRPr="002E7B06">
        <w:rPr>
          <w:rFonts w:cs="Arial"/>
          <w:sz w:val="26"/>
          <w:szCs w:val="26"/>
        </w:rPr>
        <w:t xml:space="preserve">las medidas legislativas </w:t>
      </w:r>
      <w:r w:rsidR="001C5355" w:rsidRPr="002E7B06">
        <w:rPr>
          <w:rFonts w:cs="Arial"/>
          <w:sz w:val="26"/>
          <w:szCs w:val="26"/>
        </w:rPr>
        <w:t xml:space="preserve">les resultan benéficas o no. </w:t>
      </w:r>
      <w:r w:rsidR="0097342F">
        <w:rPr>
          <w:rFonts w:cs="Arial"/>
          <w:sz w:val="26"/>
          <w:szCs w:val="26"/>
        </w:rPr>
        <w:t>A</w:t>
      </w:r>
      <w:r w:rsidR="001C5355" w:rsidRPr="002E7B06">
        <w:rPr>
          <w:rFonts w:cs="Arial"/>
          <w:sz w:val="26"/>
          <w:szCs w:val="26"/>
        </w:rPr>
        <w:t>l no haberse llevado a cabo una consulta indígena de conformidad con los estándares nacionales e internacionales en la materia,</w:t>
      </w:r>
      <w:r w:rsidR="0097342F">
        <w:rPr>
          <w:rFonts w:cs="Arial"/>
          <w:sz w:val="26"/>
          <w:szCs w:val="26"/>
        </w:rPr>
        <w:t xml:space="preserve"> concluye</w:t>
      </w:r>
      <w:r w:rsidR="00F004BB">
        <w:rPr>
          <w:rFonts w:cs="Arial"/>
          <w:sz w:val="26"/>
          <w:szCs w:val="26"/>
        </w:rPr>
        <w:t xml:space="preserve"> la accionante</w:t>
      </w:r>
      <w:r w:rsidR="0097342F">
        <w:rPr>
          <w:rFonts w:cs="Arial"/>
          <w:sz w:val="26"/>
          <w:szCs w:val="26"/>
        </w:rPr>
        <w:t>,</w:t>
      </w:r>
      <w:r w:rsidR="001C5355" w:rsidRPr="002E7B06">
        <w:rPr>
          <w:rFonts w:cs="Arial"/>
          <w:sz w:val="26"/>
          <w:szCs w:val="26"/>
        </w:rPr>
        <w:t xml:space="preserve"> debe declararse la invalidez de los cuatro decretos impugnados</w:t>
      </w:r>
      <w:r w:rsidR="002E7B06">
        <w:rPr>
          <w:rFonts w:cs="Arial"/>
          <w:sz w:val="26"/>
          <w:szCs w:val="26"/>
        </w:rPr>
        <w:t xml:space="preserve"> en su totalidad</w:t>
      </w:r>
      <w:r w:rsidR="00780E7C" w:rsidRPr="00894B94">
        <w:rPr>
          <w:rStyle w:val="Refdenotaalpie"/>
          <w:rFonts w:cs="Arial"/>
          <w:sz w:val="26"/>
          <w:szCs w:val="26"/>
          <w:lang w:eastAsia="es-MX"/>
        </w:rPr>
        <w:footnoteReference w:id="42"/>
      </w:r>
      <w:r w:rsidR="001C5355" w:rsidRPr="002E7B06">
        <w:rPr>
          <w:rFonts w:cs="Arial"/>
          <w:sz w:val="26"/>
          <w:szCs w:val="26"/>
        </w:rPr>
        <w:t>.</w:t>
      </w:r>
    </w:p>
    <w:p w:rsidR="001D7F75" w:rsidRPr="00581E7D" w:rsidRDefault="00C5689D" w:rsidP="00095116">
      <w:pPr>
        <w:pStyle w:val="corte4fondo"/>
        <w:numPr>
          <w:ilvl w:val="0"/>
          <w:numId w:val="1"/>
        </w:numPr>
        <w:tabs>
          <w:tab w:val="clear" w:pos="-3"/>
          <w:tab w:val="left" w:pos="0"/>
        </w:tabs>
        <w:spacing w:after="360" w:line="360" w:lineRule="auto"/>
        <w:ind w:left="0" w:hanging="567"/>
        <w:rPr>
          <w:rFonts w:cs="Arial"/>
          <w:b/>
          <w:sz w:val="26"/>
          <w:szCs w:val="26"/>
        </w:rPr>
      </w:pPr>
      <w:r>
        <w:rPr>
          <w:rFonts w:cs="Arial"/>
          <w:sz w:val="26"/>
          <w:szCs w:val="26"/>
        </w:rPr>
        <w:t>Por otra parte</w:t>
      </w:r>
      <w:r w:rsidR="001D7F75">
        <w:rPr>
          <w:rFonts w:cs="Arial"/>
          <w:sz w:val="26"/>
          <w:szCs w:val="26"/>
        </w:rPr>
        <w:t>,</w:t>
      </w:r>
      <w:r w:rsidR="002E7B06">
        <w:rPr>
          <w:rFonts w:cs="Arial"/>
          <w:sz w:val="26"/>
          <w:szCs w:val="26"/>
        </w:rPr>
        <w:t xml:space="preserve"> la Comisión </w:t>
      </w:r>
      <w:r w:rsidR="00F004BB">
        <w:rPr>
          <w:rFonts w:cs="Arial"/>
          <w:sz w:val="26"/>
          <w:szCs w:val="26"/>
        </w:rPr>
        <w:t>promovente</w:t>
      </w:r>
      <w:r w:rsidR="001D7F75">
        <w:rPr>
          <w:rFonts w:cs="Arial"/>
          <w:sz w:val="26"/>
          <w:szCs w:val="26"/>
        </w:rPr>
        <w:t xml:space="preserve"> aduce que </w:t>
      </w:r>
      <w:r w:rsidR="00095116" w:rsidRPr="00A37CED">
        <w:rPr>
          <w:rFonts w:cs="Arial"/>
          <w:bCs/>
          <w:sz w:val="26"/>
          <w:szCs w:val="26"/>
        </w:rPr>
        <w:t xml:space="preserve">el </w:t>
      </w:r>
      <w:r w:rsidR="002E7B06">
        <w:rPr>
          <w:rFonts w:cs="Arial"/>
          <w:sz w:val="26"/>
          <w:szCs w:val="26"/>
        </w:rPr>
        <w:t>Decreto N°</w:t>
      </w:r>
      <w:r w:rsidR="00095116" w:rsidRPr="00A37CED">
        <w:rPr>
          <w:rFonts w:cs="Arial"/>
          <w:sz w:val="26"/>
          <w:szCs w:val="26"/>
        </w:rPr>
        <w:t xml:space="preserve"> LXVI/RFLEY/0665/2020 III P.E. </w:t>
      </w:r>
      <w:r w:rsidR="0047631B">
        <w:rPr>
          <w:rFonts w:cs="Arial"/>
          <w:sz w:val="26"/>
          <w:szCs w:val="26"/>
        </w:rPr>
        <w:t>(</w:t>
      </w:r>
      <w:r w:rsidR="0047631B" w:rsidRPr="0047631B">
        <w:rPr>
          <w:rFonts w:cs="Arial"/>
          <w:i/>
          <w:sz w:val="26"/>
          <w:szCs w:val="26"/>
        </w:rPr>
        <w:t>supra</w:t>
      </w:r>
      <w:r w:rsidR="0047631B">
        <w:rPr>
          <w:rFonts w:cs="Arial"/>
          <w:sz w:val="26"/>
          <w:szCs w:val="26"/>
        </w:rPr>
        <w:t xml:space="preserve"> </w:t>
      </w:r>
      <w:r w:rsidR="0047631B">
        <w:rPr>
          <w:rFonts w:cs="Arial"/>
          <w:b/>
          <w:sz w:val="26"/>
          <w:szCs w:val="26"/>
        </w:rPr>
        <w:t>C</w:t>
      </w:r>
      <w:r w:rsidR="0047631B">
        <w:rPr>
          <w:rFonts w:cs="Arial"/>
          <w:sz w:val="26"/>
          <w:szCs w:val="26"/>
        </w:rPr>
        <w:t xml:space="preserve">) </w:t>
      </w:r>
      <w:r w:rsidR="00B6224E">
        <w:rPr>
          <w:rFonts w:cs="Arial"/>
          <w:sz w:val="26"/>
          <w:szCs w:val="26"/>
        </w:rPr>
        <w:t xml:space="preserve">también </w:t>
      </w:r>
      <w:r w:rsidR="002E7B06">
        <w:rPr>
          <w:rFonts w:cs="Arial"/>
          <w:sz w:val="26"/>
          <w:szCs w:val="26"/>
        </w:rPr>
        <w:t>vulnera</w:t>
      </w:r>
      <w:r w:rsidR="00E52389">
        <w:rPr>
          <w:rFonts w:cs="Arial"/>
          <w:sz w:val="26"/>
          <w:szCs w:val="26"/>
        </w:rPr>
        <w:t xml:space="preserve"> el derecho a la consulta estrecha y participación activa de las personas con discapacidad</w:t>
      </w:r>
      <w:r w:rsidR="002E7B06" w:rsidRPr="002E7B06">
        <w:rPr>
          <w:rFonts w:cs="Arial"/>
          <w:sz w:val="26"/>
          <w:szCs w:val="26"/>
        </w:rPr>
        <w:t xml:space="preserve"> </w:t>
      </w:r>
      <w:r w:rsidR="00E52389">
        <w:rPr>
          <w:rFonts w:cs="Arial"/>
          <w:sz w:val="26"/>
          <w:szCs w:val="26"/>
        </w:rPr>
        <w:t xml:space="preserve">previsto en </w:t>
      </w:r>
      <w:r w:rsidR="000015C3">
        <w:rPr>
          <w:rFonts w:cs="Arial"/>
          <w:sz w:val="26"/>
          <w:szCs w:val="26"/>
        </w:rPr>
        <w:t>el artículo</w:t>
      </w:r>
      <w:r w:rsidR="00A64C9D">
        <w:rPr>
          <w:rFonts w:cs="Arial"/>
          <w:sz w:val="26"/>
          <w:szCs w:val="26"/>
        </w:rPr>
        <w:t xml:space="preserve"> </w:t>
      </w:r>
      <w:r w:rsidR="003D610E">
        <w:rPr>
          <w:rFonts w:cs="Arial"/>
          <w:sz w:val="26"/>
          <w:szCs w:val="26"/>
        </w:rPr>
        <w:t>4.3 de la Convención</w:t>
      </w:r>
      <w:r w:rsidR="002E7B06" w:rsidRPr="00A37CED">
        <w:rPr>
          <w:rFonts w:cs="Arial"/>
          <w:sz w:val="26"/>
          <w:szCs w:val="26"/>
        </w:rPr>
        <w:t xml:space="preserve"> sobre los Derechos de las Personas con Discapacidad</w:t>
      </w:r>
      <w:r w:rsidR="00902329" w:rsidRPr="00894B94">
        <w:rPr>
          <w:rStyle w:val="Refdenotaalpie"/>
          <w:rFonts w:cs="Arial"/>
          <w:sz w:val="26"/>
          <w:szCs w:val="26"/>
        </w:rPr>
        <w:footnoteReference w:id="43"/>
      </w:r>
      <w:r w:rsidR="00343457">
        <w:rPr>
          <w:rFonts w:cs="Arial"/>
          <w:sz w:val="26"/>
          <w:szCs w:val="26"/>
        </w:rPr>
        <w:t xml:space="preserve"> (en lo sucesivo “la Convención”)</w:t>
      </w:r>
      <w:r w:rsidR="002E7B06">
        <w:rPr>
          <w:rFonts w:cs="Arial"/>
          <w:sz w:val="26"/>
          <w:szCs w:val="26"/>
        </w:rPr>
        <w:t xml:space="preserve">, pues </w:t>
      </w:r>
      <w:r w:rsidR="00234009">
        <w:rPr>
          <w:rFonts w:cs="Arial"/>
          <w:sz w:val="26"/>
          <w:szCs w:val="26"/>
        </w:rPr>
        <w:t>al expedir dicho instrumento</w:t>
      </w:r>
      <w:r w:rsidR="00632F44">
        <w:rPr>
          <w:rFonts w:cs="Arial"/>
          <w:sz w:val="26"/>
          <w:szCs w:val="26"/>
        </w:rPr>
        <w:t xml:space="preserve"> legislativo</w:t>
      </w:r>
      <w:r w:rsidR="00B6775C">
        <w:rPr>
          <w:rFonts w:cs="Arial"/>
          <w:sz w:val="26"/>
          <w:szCs w:val="26"/>
        </w:rPr>
        <w:t xml:space="preserve"> </w:t>
      </w:r>
      <w:r w:rsidR="00F004BB">
        <w:rPr>
          <w:rFonts w:cs="Arial"/>
          <w:sz w:val="26"/>
          <w:szCs w:val="26"/>
        </w:rPr>
        <w:t xml:space="preserve">las autoridades responsables omitieron </w:t>
      </w:r>
      <w:r w:rsidR="00095116" w:rsidRPr="00A37CED">
        <w:rPr>
          <w:rFonts w:cs="Arial"/>
          <w:sz w:val="26"/>
          <w:szCs w:val="26"/>
        </w:rPr>
        <w:t xml:space="preserve">llevar a cabo una consulta previa a </w:t>
      </w:r>
      <w:r w:rsidR="00A215A8">
        <w:rPr>
          <w:rFonts w:cs="Arial"/>
          <w:sz w:val="26"/>
          <w:szCs w:val="26"/>
        </w:rPr>
        <w:t xml:space="preserve">las </w:t>
      </w:r>
      <w:r w:rsidR="00095116" w:rsidRPr="00A37CED">
        <w:rPr>
          <w:rFonts w:cs="Arial"/>
          <w:sz w:val="26"/>
          <w:szCs w:val="26"/>
        </w:rPr>
        <w:t xml:space="preserve">personas con discapacidad </w:t>
      </w:r>
      <w:r w:rsidR="00E52389">
        <w:rPr>
          <w:rFonts w:cs="Arial"/>
          <w:sz w:val="26"/>
          <w:szCs w:val="26"/>
        </w:rPr>
        <w:t>a través de las organizaciones que las representan</w:t>
      </w:r>
      <w:r w:rsidR="00B6775C">
        <w:rPr>
          <w:rFonts w:cs="Arial"/>
          <w:sz w:val="26"/>
          <w:szCs w:val="26"/>
        </w:rPr>
        <w:t>. Sostiene que</w:t>
      </w:r>
      <w:r w:rsidR="00E52389">
        <w:rPr>
          <w:rFonts w:cs="Arial"/>
          <w:sz w:val="26"/>
          <w:szCs w:val="26"/>
        </w:rPr>
        <w:t xml:space="preserve"> </w:t>
      </w:r>
      <w:r w:rsidR="00095116" w:rsidRPr="00A37CED">
        <w:rPr>
          <w:rFonts w:cs="Arial"/>
          <w:sz w:val="26"/>
          <w:szCs w:val="26"/>
        </w:rPr>
        <w:t>conforme</w:t>
      </w:r>
      <w:r w:rsidR="00B6775C">
        <w:rPr>
          <w:rFonts w:cs="Arial"/>
          <w:sz w:val="26"/>
          <w:szCs w:val="26"/>
        </w:rPr>
        <w:t xml:space="preserve"> a la</w:t>
      </w:r>
      <w:r w:rsidR="002E7B06">
        <w:rPr>
          <w:rFonts w:cs="Arial"/>
          <w:sz w:val="26"/>
          <w:szCs w:val="26"/>
        </w:rPr>
        <w:t xml:space="preserve"> </w:t>
      </w:r>
      <w:r w:rsidR="00B6775C">
        <w:rPr>
          <w:rFonts w:cs="Arial"/>
          <w:sz w:val="26"/>
          <w:szCs w:val="26"/>
        </w:rPr>
        <w:t>interpretación de es</w:t>
      </w:r>
      <w:r w:rsidR="00632F44">
        <w:rPr>
          <w:rFonts w:cs="Arial"/>
          <w:sz w:val="26"/>
          <w:szCs w:val="26"/>
        </w:rPr>
        <w:t>t</w:t>
      </w:r>
      <w:r w:rsidR="00B6775C">
        <w:rPr>
          <w:rFonts w:cs="Arial"/>
          <w:sz w:val="26"/>
          <w:szCs w:val="26"/>
        </w:rPr>
        <w:t xml:space="preserve">e </w:t>
      </w:r>
      <w:r w:rsidR="00B6224E">
        <w:rPr>
          <w:rFonts w:cs="Arial"/>
          <w:sz w:val="26"/>
          <w:szCs w:val="26"/>
        </w:rPr>
        <w:t>artículo de la Convenció</w:t>
      </w:r>
      <w:r w:rsidR="00632F44">
        <w:rPr>
          <w:rFonts w:cs="Arial"/>
          <w:sz w:val="26"/>
          <w:szCs w:val="26"/>
        </w:rPr>
        <w:t>n</w:t>
      </w:r>
      <w:r w:rsidR="002E7B06">
        <w:rPr>
          <w:rFonts w:cs="Arial"/>
          <w:sz w:val="26"/>
          <w:szCs w:val="26"/>
        </w:rPr>
        <w:t xml:space="preserve"> por la Suprema Corte</w:t>
      </w:r>
      <w:r w:rsidR="00FC1BDB" w:rsidRPr="00FC1BDB">
        <w:rPr>
          <w:rFonts w:cs="Arial"/>
          <w:sz w:val="26"/>
          <w:szCs w:val="26"/>
        </w:rPr>
        <w:t xml:space="preserve"> </w:t>
      </w:r>
      <w:r w:rsidR="00FC1BDB">
        <w:rPr>
          <w:rFonts w:cs="Arial"/>
          <w:sz w:val="26"/>
          <w:szCs w:val="26"/>
        </w:rPr>
        <w:t>y</w:t>
      </w:r>
      <w:r w:rsidR="00B6775C">
        <w:rPr>
          <w:rFonts w:cs="Arial"/>
          <w:sz w:val="26"/>
          <w:szCs w:val="26"/>
        </w:rPr>
        <w:t xml:space="preserve"> por</w:t>
      </w:r>
      <w:r w:rsidR="00FC1BDB">
        <w:rPr>
          <w:rFonts w:cs="Arial"/>
          <w:sz w:val="26"/>
          <w:szCs w:val="26"/>
        </w:rPr>
        <w:t xml:space="preserve"> </w:t>
      </w:r>
      <w:r w:rsidR="00FC1BDB">
        <w:rPr>
          <w:rFonts w:cs="Arial"/>
          <w:sz w:val="26"/>
          <w:szCs w:val="26"/>
        </w:rPr>
        <w:lastRenderedPageBreak/>
        <w:t>el Comité sobre los Derechos de las Personas con Discapacidad en la Observación General N° 7</w:t>
      </w:r>
      <w:r w:rsidR="00B6775C">
        <w:rPr>
          <w:rFonts w:cs="Arial"/>
          <w:sz w:val="26"/>
          <w:szCs w:val="26"/>
        </w:rPr>
        <w:t xml:space="preserve">, las autoridades </w:t>
      </w:r>
      <w:r w:rsidR="00632F44">
        <w:rPr>
          <w:rFonts w:cs="Arial"/>
          <w:sz w:val="26"/>
          <w:szCs w:val="26"/>
        </w:rPr>
        <w:t xml:space="preserve">de Chihuahua </w:t>
      </w:r>
      <w:r w:rsidR="00B6775C">
        <w:rPr>
          <w:rFonts w:cs="Arial"/>
          <w:sz w:val="26"/>
          <w:szCs w:val="26"/>
        </w:rPr>
        <w:t>estaban obligadas a llevar a cabo una consulta sobre toda medida legislativa que pudiera afectar directa o indirectamente a las personas con discapacidad</w:t>
      </w:r>
      <w:r w:rsidR="00095116" w:rsidRPr="00A37CED">
        <w:rPr>
          <w:rFonts w:cs="Arial"/>
          <w:sz w:val="26"/>
          <w:szCs w:val="26"/>
        </w:rPr>
        <w:t xml:space="preserve">. </w:t>
      </w:r>
      <w:r w:rsidR="000015C3">
        <w:rPr>
          <w:rFonts w:cs="Arial"/>
          <w:sz w:val="26"/>
          <w:szCs w:val="26"/>
        </w:rPr>
        <w:t>Explica que al establecer</w:t>
      </w:r>
      <w:r w:rsidR="00065056">
        <w:rPr>
          <w:rFonts w:cs="Arial"/>
          <w:sz w:val="26"/>
          <w:szCs w:val="26"/>
        </w:rPr>
        <w:t>se</w:t>
      </w:r>
      <w:r w:rsidR="000015C3">
        <w:rPr>
          <w:rFonts w:cs="Arial"/>
          <w:sz w:val="26"/>
          <w:szCs w:val="26"/>
        </w:rPr>
        <w:t xml:space="preserve"> un Centro de Personas Intérpretes y Traductoras</w:t>
      </w:r>
      <w:r w:rsidR="00065056">
        <w:rPr>
          <w:rFonts w:cs="Arial"/>
          <w:sz w:val="26"/>
          <w:szCs w:val="26"/>
        </w:rPr>
        <w:t xml:space="preserve"> </w:t>
      </w:r>
      <w:r w:rsidR="003C6D85">
        <w:rPr>
          <w:rFonts w:cs="Arial"/>
          <w:sz w:val="26"/>
          <w:szCs w:val="26"/>
        </w:rPr>
        <w:t xml:space="preserve">enfocado en asistir a estas personas </w:t>
      </w:r>
      <w:r w:rsidR="00065056">
        <w:rPr>
          <w:rFonts w:cs="Arial"/>
          <w:sz w:val="26"/>
          <w:szCs w:val="26"/>
        </w:rPr>
        <w:t xml:space="preserve">se adoptaron decisiones que </w:t>
      </w:r>
      <w:r w:rsidR="00B6775C">
        <w:rPr>
          <w:rFonts w:cs="Arial"/>
          <w:sz w:val="26"/>
          <w:szCs w:val="26"/>
        </w:rPr>
        <w:t xml:space="preserve">guardan relación </w:t>
      </w:r>
      <w:r w:rsidR="00A215A8">
        <w:rPr>
          <w:rFonts w:cs="Arial"/>
          <w:sz w:val="26"/>
          <w:szCs w:val="26"/>
        </w:rPr>
        <w:t xml:space="preserve">directa </w:t>
      </w:r>
      <w:r w:rsidR="00B6775C">
        <w:rPr>
          <w:rFonts w:cs="Arial"/>
          <w:sz w:val="26"/>
          <w:szCs w:val="26"/>
        </w:rPr>
        <w:t>con</w:t>
      </w:r>
      <w:r w:rsidR="00065056">
        <w:rPr>
          <w:rFonts w:cs="Arial"/>
          <w:sz w:val="26"/>
          <w:szCs w:val="26"/>
        </w:rPr>
        <w:t xml:space="preserve"> distintos derechos</w:t>
      </w:r>
      <w:r w:rsidR="00B6775C">
        <w:rPr>
          <w:rFonts w:cs="Arial"/>
          <w:sz w:val="26"/>
          <w:szCs w:val="26"/>
        </w:rPr>
        <w:t xml:space="preserve"> </w:t>
      </w:r>
      <w:r w:rsidR="00065056">
        <w:rPr>
          <w:rFonts w:cs="Arial"/>
          <w:sz w:val="26"/>
          <w:szCs w:val="26"/>
        </w:rPr>
        <w:t xml:space="preserve">tutelados por </w:t>
      </w:r>
      <w:r w:rsidR="008B6FDF">
        <w:rPr>
          <w:rFonts w:cs="Arial"/>
          <w:sz w:val="26"/>
          <w:szCs w:val="26"/>
        </w:rPr>
        <w:t>la</w:t>
      </w:r>
      <w:r w:rsidR="00065056">
        <w:rPr>
          <w:rFonts w:cs="Arial"/>
          <w:sz w:val="26"/>
          <w:szCs w:val="26"/>
        </w:rPr>
        <w:t xml:space="preserve"> </w:t>
      </w:r>
      <w:r w:rsidR="008B6FDF">
        <w:rPr>
          <w:rFonts w:cs="Arial"/>
          <w:sz w:val="26"/>
          <w:szCs w:val="26"/>
        </w:rPr>
        <w:t xml:space="preserve">referida </w:t>
      </w:r>
      <w:r w:rsidR="00065056">
        <w:rPr>
          <w:rFonts w:cs="Arial"/>
          <w:sz w:val="26"/>
          <w:szCs w:val="26"/>
        </w:rPr>
        <w:t>Convención</w:t>
      </w:r>
      <w:r w:rsidR="00B6775C">
        <w:rPr>
          <w:rFonts w:cs="Arial"/>
          <w:sz w:val="26"/>
          <w:szCs w:val="26"/>
        </w:rPr>
        <w:t xml:space="preserve">, como son los principios generales de autonomía e independencia, la igualdad ante la ley y </w:t>
      </w:r>
      <w:r w:rsidR="00B6224E">
        <w:rPr>
          <w:rFonts w:cs="Arial"/>
          <w:sz w:val="26"/>
          <w:szCs w:val="26"/>
        </w:rPr>
        <w:t xml:space="preserve">el derecho </w:t>
      </w:r>
      <w:r w:rsidR="00B6775C">
        <w:rPr>
          <w:rFonts w:cs="Arial"/>
          <w:sz w:val="26"/>
          <w:szCs w:val="26"/>
        </w:rPr>
        <w:t>a la participación</w:t>
      </w:r>
      <w:r w:rsidR="000015C3">
        <w:rPr>
          <w:rFonts w:cs="Arial"/>
          <w:sz w:val="26"/>
          <w:szCs w:val="26"/>
        </w:rPr>
        <w:t xml:space="preserve">. </w:t>
      </w:r>
      <w:r w:rsidR="00231957">
        <w:rPr>
          <w:rFonts w:cs="Arial"/>
          <w:sz w:val="26"/>
          <w:szCs w:val="26"/>
        </w:rPr>
        <w:t>P</w:t>
      </w:r>
      <w:r w:rsidR="00095116" w:rsidRPr="00A37CED">
        <w:rPr>
          <w:rFonts w:cs="Arial"/>
          <w:sz w:val="26"/>
          <w:szCs w:val="26"/>
        </w:rPr>
        <w:t>ese a lo benéfica que pudiera resultar la existencia del Centro,</w:t>
      </w:r>
      <w:r w:rsidR="00231957">
        <w:rPr>
          <w:rFonts w:cs="Arial"/>
          <w:sz w:val="26"/>
          <w:szCs w:val="26"/>
        </w:rPr>
        <w:t xml:space="preserve"> concluye la Comisión accionante,</w:t>
      </w:r>
      <w:r w:rsidR="00095116" w:rsidRPr="00A37CED">
        <w:rPr>
          <w:rFonts w:cs="Arial"/>
          <w:sz w:val="26"/>
          <w:szCs w:val="26"/>
        </w:rPr>
        <w:t xml:space="preserve"> </w:t>
      </w:r>
      <w:r w:rsidR="00632F44">
        <w:rPr>
          <w:rFonts w:cs="Arial"/>
          <w:sz w:val="26"/>
          <w:szCs w:val="26"/>
        </w:rPr>
        <w:t>la falta de consulta de</w:t>
      </w:r>
      <w:r w:rsidR="00095116" w:rsidRPr="00A37CED">
        <w:rPr>
          <w:rFonts w:cs="Arial"/>
          <w:sz w:val="26"/>
          <w:szCs w:val="26"/>
        </w:rPr>
        <w:t xml:space="preserve"> </w:t>
      </w:r>
      <w:r w:rsidR="00632F44">
        <w:rPr>
          <w:rFonts w:cs="Arial"/>
          <w:sz w:val="26"/>
          <w:szCs w:val="26"/>
        </w:rPr>
        <w:t>su creación con</w:t>
      </w:r>
      <w:r w:rsidR="00950B1D">
        <w:rPr>
          <w:rFonts w:cs="Arial"/>
          <w:sz w:val="26"/>
          <w:szCs w:val="26"/>
        </w:rPr>
        <w:t xml:space="preserve"> las personas con discapacidad </w:t>
      </w:r>
      <w:r w:rsidR="00095116" w:rsidRPr="00A37CED">
        <w:rPr>
          <w:rFonts w:cs="Arial"/>
          <w:sz w:val="26"/>
          <w:szCs w:val="26"/>
        </w:rPr>
        <w:t>lo torna inválido</w:t>
      </w:r>
      <w:r w:rsidR="00C902C4">
        <w:rPr>
          <w:rFonts w:cs="Arial"/>
          <w:sz w:val="26"/>
          <w:szCs w:val="26"/>
        </w:rPr>
        <w:t>,</w:t>
      </w:r>
      <w:r w:rsidR="00095116" w:rsidRPr="00A37CED">
        <w:rPr>
          <w:rFonts w:cs="Arial"/>
          <w:sz w:val="26"/>
          <w:szCs w:val="26"/>
        </w:rPr>
        <w:t xml:space="preserve"> </w:t>
      </w:r>
      <w:r w:rsidR="00C902C4">
        <w:rPr>
          <w:rFonts w:cs="Arial"/>
          <w:sz w:val="26"/>
          <w:szCs w:val="26"/>
        </w:rPr>
        <w:t>pues</w:t>
      </w:r>
      <w:r w:rsidR="00095116" w:rsidRPr="00A37CED">
        <w:rPr>
          <w:rFonts w:cs="Arial"/>
          <w:sz w:val="26"/>
          <w:szCs w:val="26"/>
        </w:rPr>
        <w:t xml:space="preserve"> </w:t>
      </w:r>
      <w:r w:rsidR="00950B1D">
        <w:rPr>
          <w:rFonts w:cs="Arial"/>
          <w:sz w:val="26"/>
          <w:szCs w:val="26"/>
        </w:rPr>
        <w:t xml:space="preserve">en la medida que </w:t>
      </w:r>
      <w:r w:rsidR="00632F44">
        <w:rPr>
          <w:rFonts w:cs="Arial"/>
          <w:sz w:val="26"/>
          <w:szCs w:val="26"/>
        </w:rPr>
        <w:t>tal consulta</w:t>
      </w:r>
      <w:r w:rsidR="00950B1D">
        <w:rPr>
          <w:rFonts w:cs="Arial"/>
          <w:sz w:val="26"/>
          <w:szCs w:val="26"/>
        </w:rPr>
        <w:t xml:space="preserve"> no es optativa, su omisión </w:t>
      </w:r>
      <w:r w:rsidR="00095116" w:rsidRPr="00A37CED">
        <w:rPr>
          <w:rFonts w:cs="Arial"/>
          <w:sz w:val="26"/>
          <w:szCs w:val="26"/>
        </w:rPr>
        <w:t xml:space="preserve">constituye un vicio formal </w:t>
      </w:r>
      <w:r w:rsidR="00B6224E">
        <w:rPr>
          <w:rFonts w:cs="Arial"/>
          <w:sz w:val="26"/>
          <w:szCs w:val="26"/>
        </w:rPr>
        <w:t>con efecto invalidante</w:t>
      </w:r>
      <w:r w:rsidR="00B6224E" w:rsidRPr="00B6224E">
        <w:rPr>
          <w:rFonts w:cs="Arial"/>
          <w:sz w:val="26"/>
          <w:szCs w:val="26"/>
        </w:rPr>
        <w:t xml:space="preserve"> </w:t>
      </w:r>
      <w:r w:rsidR="00B6224E" w:rsidRPr="00A37CED">
        <w:rPr>
          <w:rFonts w:cs="Arial"/>
          <w:sz w:val="26"/>
          <w:szCs w:val="26"/>
        </w:rPr>
        <w:t>en el proceso legislativo</w:t>
      </w:r>
      <w:r w:rsidR="00E52389" w:rsidRPr="00894B94">
        <w:rPr>
          <w:rStyle w:val="Refdenotaalpie"/>
          <w:rFonts w:cs="Arial"/>
          <w:sz w:val="26"/>
          <w:szCs w:val="26"/>
          <w:lang w:eastAsia="es-MX"/>
        </w:rPr>
        <w:footnoteReference w:id="44"/>
      </w:r>
      <w:r w:rsidR="00095116" w:rsidRPr="00A37CED">
        <w:rPr>
          <w:rFonts w:cs="Arial"/>
          <w:sz w:val="26"/>
          <w:szCs w:val="26"/>
        </w:rPr>
        <w:t>.</w:t>
      </w:r>
    </w:p>
    <w:p w:rsidR="001C5355" w:rsidRDefault="001C5355" w:rsidP="001C5355">
      <w:pPr>
        <w:pStyle w:val="corte4fondo"/>
        <w:numPr>
          <w:ilvl w:val="0"/>
          <w:numId w:val="1"/>
        </w:numPr>
        <w:tabs>
          <w:tab w:val="clear" w:pos="-3"/>
          <w:tab w:val="left" w:pos="0"/>
        </w:tabs>
        <w:spacing w:after="360" w:line="360" w:lineRule="auto"/>
        <w:ind w:left="0" w:hanging="567"/>
        <w:rPr>
          <w:rFonts w:cs="Arial"/>
          <w:bCs/>
          <w:sz w:val="26"/>
          <w:szCs w:val="26"/>
        </w:rPr>
      </w:pPr>
      <w:r>
        <w:rPr>
          <w:rFonts w:cs="Arial"/>
          <w:b/>
          <w:sz w:val="26"/>
          <w:szCs w:val="26"/>
        </w:rPr>
        <w:t>Informe de la autoridad responsable</w:t>
      </w:r>
      <w:r w:rsidRPr="00894B94">
        <w:rPr>
          <w:rStyle w:val="Refdenotaalpie"/>
          <w:rFonts w:cs="Arial"/>
          <w:sz w:val="26"/>
          <w:szCs w:val="26"/>
          <w:lang w:eastAsia="es-MX"/>
        </w:rPr>
        <w:footnoteReference w:id="45"/>
      </w:r>
      <w:r>
        <w:rPr>
          <w:rFonts w:cs="Arial"/>
          <w:b/>
          <w:sz w:val="26"/>
          <w:szCs w:val="26"/>
        </w:rPr>
        <w:t xml:space="preserve">. </w:t>
      </w:r>
      <w:r w:rsidR="00310D58">
        <w:rPr>
          <w:rFonts w:cs="Arial"/>
          <w:bCs/>
          <w:sz w:val="26"/>
          <w:szCs w:val="26"/>
        </w:rPr>
        <w:t>Por su parte, e</w:t>
      </w:r>
      <w:r w:rsidRPr="002455F6">
        <w:rPr>
          <w:rFonts w:cs="Arial"/>
          <w:bCs/>
          <w:sz w:val="26"/>
          <w:szCs w:val="26"/>
        </w:rPr>
        <w:t>l Poder Ejecutivo de Chihuahua</w:t>
      </w:r>
      <w:r>
        <w:rPr>
          <w:rFonts w:cs="Arial"/>
          <w:bCs/>
          <w:sz w:val="26"/>
          <w:szCs w:val="26"/>
        </w:rPr>
        <w:t xml:space="preserve"> sostiene que los conceptos de invalidez son infundados.</w:t>
      </w:r>
    </w:p>
    <w:p w:rsidR="001C5355" w:rsidRPr="00864086" w:rsidRDefault="001C5355" w:rsidP="00864086">
      <w:pPr>
        <w:pStyle w:val="corte4fondo"/>
        <w:numPr>
          <w:ilvl w:val="0"/>
          <w:numId w:val="1"/>
        </w:numPr>
        <w:tabs>
          <w:tab w:val="clear" w:pos="-3"/>
          <w:tab w:val="left" w:pos="0"/>
        </w:tabs>
        <w:spacing w:after="360" w:line="360" w:lineRule="auto"/>
        <w:ind w:left="0" w:hanging="567"/>
        <w:rPr>
          <w:rFonts w:cs="Arial"/>
          <w:sz w:val="26"/>
          <w:szCs w:val="26"/>
        </w:rPr>
      </w:pPr>
      <w:r w:rsidRPr="00581E7D">
        <w:rPr>
          <w:rFonts w:cs="Arial"/>
          <w:sz w:val="26"/>
          <w:szCs w:val="26"/>
        </w:rPr>
        <w:t>En relación con</w:t>
      </w:r>
      <w:r>
        <w:rPr>
          <w:rFonts w:cs="Arial"/>
          <w:sz w:val="26"/>
          <w:szCs w:val="26"/>
        </w:rPr>
        <w:t xml:space="preserve"> </w:t>
      </w:r>
      <w:r w:rsidR="00F16B7B">
        <w:rPr>
          <w:rFonts w:cs="Arial"/>
          <w:sz w:val="26"/>
          <w:szCs w:val="26"/>
        </w:rPr>
        <w:t>el argumento relativo</w:t>
      </w:r>
      <w:r>
        <w:rPr>
          <w:rFonts w:cs="Arial"/>
          <w:sz w:val="26"/>
          <w:szCs w:val="26"/>
        </w:rPr>
        <w:t xml:space="preserve"> a </w:t>
      </w:r>
      <w:r w:rsidR="00714F69">
        <w:rPr>
          <w:rFonts w:cs="Arial"/>
          <w:sz w:val="26"/>
          <w:szCs w:val="26"/>
        </w:rPr>
        <w:t>la omisión de consultar a las</w:t>
      </w:r>
      <w:r w:rsidR="002C5B26">
        <w:rPr>
          <w:rFonts w:cs="Arial"/>
          <w:sz w:val="26"/>
          <w:szCs w:val="26"/>
        </w:rPr>
        <w:t xml:space="preserve"> personas, pueblos y comunidades</w:t>
      </w:r>
      <w:r>
        <w:rPr>
          <w:rFonts w:cs="Arial"/>
          <w:sz w:val="26"/>
          <w:szCs w:val="26"/>
        </w:rPr>
        <w:t xml:space="preserve"> indígena</w:t>
      </w:r>
      <w:r w:rsidR="002C5B26">
        <w:rPr>
          <w:rFonts w:cs="Arial"/>
          <w:sz w:val="26"/>
          <w:szCs w:val="26"/>
        </w:rPr>
        <w:t>s</w:t>
      </w:r>
      <w:r w:rsidR="00F16B7B">
        <w:rPr>
          <w:rFonts w:cs="Arial"/>
          <w:sz w:val="26"/>
          <w:szCs w:val="26"/>
        </w:rPr>
        <w:t xml:space="preserve"> </w:t>
      </w:r>
      <w:r w:rsidR="000466E0">
        <w:rPr>
          <w:rFonts w:cs="Arial"/>
          <w:sz w:val="26"/>
          <w:szCs w:val="26"/>
        </w:rPr>
        <w:t>para expedir los decretos controvertidos</w:t>
      </w:r>
      <w:r>
        <w:rPr>
          <w:rFonts w:cs="Arial"/>
          <w:sz w:val="26"/>
          <w:szCs w:val="26"/>
        </w:rPr>
        <w:t xml:space="preserve">, la autoridad </w:t>
      </w:r>
      <w:r w:rsidRPr="001C5355">
        <w:rPr>
          <w:rFonts w:cs="Arial"/>
          <w:bCs/>
          <w:sz w:val="26"/>
          <w:szCs w:val="26"/>
        </w:rPr>
        <w:t>sostiene que</w:t>
      </w:r>
      <w:r w:rsidR="00714F69">
        <w:rPr>
          <w:rFonts w:cs="Arial"/>
          <w:bCs/>
          <w:sz w:val="26"/>
          <w:szCs w:val="26"/>
        </w:rPr>
        <w:t xml:space="preserve"> no se vulnera el derecho a la consulta</w:t>
      </w:r>
      <w:r w:rsidR="00FE324E">
        <w:rPr>
          <w:rFonts w:cs="Arial"/>
          <w:bCs/>
          <w:sz w:val="26"/>
          <w:szCs w:val="26"/>
        </w:rPr>
        <w:t xml:space="preserve"> de estos grupos</w:t>
      </w:r>
      <w:r w:rsidR="00714F69">
        <w:rPr>
          <w:rFonts w:cs="Arial"/>
          <w:bCs/>
          <w:sz w:val="26"/>
          <w:szCs w:val="26"/>
        </w:rPr>
        <w:t>, pues del contenido de las porciones impugnadas se desprende que</w:t>
      </w:r>
      <w:r w:rsidRPr="001C5355">
        <w:rPr>
          <w:rFonts w:cs="Arial"/>
          <w:sz w:val="26"/>
          <w:szCs w:val="26"/>
        </w:rPr>
        <w:t xml:space="preserve"> la finalidad de</w:t>
      </w:r>
      <w:r w:rsidR="00714F69">
        <w:rPr>
          <w:rFonts w:cs="Arial"/>
          <w:sz w:val="26"/>
          <w:szCs w:val="26"/>
        </w:rPr>
        <w:t>l legislador fue solamente</w:t>
      </w:r>
      <w:r w:rsidRPr="001C5355">
        <w:rPr>
          <w:rFonts w:cs="Arial"/>
          <w:sz w:val="26"/>
          <w:szCs w:val="26"/>
        </w:rPr>
        <w:t xml:space="preserve"> fortalecer los medios de </w:t>
      </w:r>
      <w:r w:rsidR="00714F69">
        <w:rPr>
          <w:rFonts w:cs="Arial"/>
          <w:sz w:val="26"/>
          <w:szCs w:val="26"/>
        </w:rPr>
        <w:t xml:space="preserve">los integrantes de </w:t>
      </w:r>
      <w:r w:rsidRPr="001C5355">
        <w:rPr>
          <w:rFonts w:cs="Arial"/>
          <w:sz w:val="26"/>
          <w:szCs w:val="26"/>
        </w:rPr>
        <w:t>las comunidades indígenas para acceder a los procedimientos de acceso de justicia y salud</w:t>
      </w:r>
      <w:r w:rsidR="00714F69">
        <w:rPr>
          <w:rFonts w:cs="Arial"/>
          <w:sz w:val="26"/>
          <w:szCs w:val="26"/>
        </w:rPr>
        <w:t xml:space="preserve">, garantizando a través de la información en su lengua y del personal capacitado en su cultura los principios de no discriminación reconocidos en el artículo 4° </w:t>
      </w:r>
      <w:r w:rsidR="0091455F">
        <w:rPr>
          <w:rFonts w:cs="Arial"/>
          <w:sz w:val="26"/>
          <w:szCs w:val="26"/>
        </w:rPr>
        <w:t>de la Constitución Federal</w:t>
      </w:r>
      <w:r w:rsidRPr="001C5355">
        <w:rPr>
          <w:rFonts w:cs="Arial"/>
          <w:sz w:val="26"/>
          <w:szCs w:val="26"/>
        </w:rPr>
        <w:t xml:space="preserve">. </w:t>
      </w:r>
      <w:r w:rsidR="00FE324E">
        <w:rPr>
          <w:rFonts w:cs="Arial"/>
          <w:sz w:val="26"/>
          <w:szCs w:val="26"/>
        </w:rPr>
        <w:t>Señala</w:t>
      </w:r>
      <w:r w:rsidRPr="001C5355">
        <w:rPr>
          <w:rFonts w:cs="Arial"/>
          <w:sz w:val="26"/>
          <w:szCs w:val="26"/>
        </w:rPr>
        <w:t xml:space="preserve"> que</w:t>
      </w:r>
      <w:r w:rsidR="006F3209" w:rsidRPr="001C5355">
        <w:rPr>
          <w:rFonts w:cs="Arial"/>
          <w:sz w:val="26"/>
          <w:szCs w:val="26"/>
        </w:rPr>
        <w:t>, lejos de afectarlos,</w:t>
      </w:r>
      <w:r w:rsidRPr="001C5355">
        <w:rPr>
          <w:rFonts w:cs="Arial"/>
          <w:sz w:val="26"/>
          <w:szCs w:val="26"/>
        </w:rPr>
        <w:t xml:space="preserve"> el contenido de las normas impugnadas</w:t>
      </w:r>
      <w:r w:rsidR="006F3209">
        <w:rPr>
          <w:rFonts w:cs="Arial"/>
          <w:sz w:val="26"/>
          <w:szCs w:val="26"/>
        </w:rPr>
        <w:t xml:space="preserve"> só</w:t>
      </w:r>
      <w:r w:rsidRPr="001C5355">
        <w:rPr>
          <w:rFonts w:cs="Arial"/>
          <w:sz w:val="26"/>
          <w:szCs w:val="26"/>
        </w:rPr>
        <w:t xml:space="preserve">lo fortalece y abona a los derechos de los cuales ya son titulares las personas y comunidades indígenas. </w:t>
      </w:r>
      <w:r w:rsidR="00FE324E">
        <w:rPr>
          <w:rFonts w:cs="Arial"/>
          <w:bCs/>
          <w:sz w:val="26"/>
          <w:szCs w:val="26"/>
        </w:rPr>
        <w:t>Afirma</w:t>
      </w:r>
      <w:r w:rsidRPr="00864086">
        <w:rPr>
          <w:rFonts w:cs="Arial"/>
          <w:bCs/>
          <w:sz w:val="26"/>
          <w:szCs w:val="26"/>
        </w:rPr>
        <w:t xml:space="preserve"> que </w:t>
      </w:r>
      <w:r w:rsidRPr="00864086">
        <w:rPr>
          <w:rFonts w:cs="Arial"/>
          <w:sz w:val="26"/>
          <w:szCs w:val="26"/>
        </w:rPr>
        <w:t xml:space="preserve">no toda medida legislativa o administrativa que implique algo relacionado con las comunidades y pueblos indígenas da lugar al ejercicio de una consulta </w:t>
      </w:r>
      <w:r w:rsidRPr="00864086">
        <w:rPr>
          <w:rFonts w:cs="Arial"/>
          <w:sz w:val="26"/>
          <w:szCs w:val="26"/>
        </w:rPr>
        <w:lastRenderedPageBreak/>
        <w:t xml:space="preserve">previa, sino sólo en aquellos casos en que se presente una posible afectación directa de sus derechos e intereses. Considera que </w:t>
      </w:r>
      <w:r w:rsidR="00AD36DB">
        <w:rPr>
          <w:rFonts w:cs="Arial"/>
          <w:sz w:val="26"/>
          <w:szCs w:val="26"/>
        </w:rPr>
        <w:t xml:space="preserve">se </w:t>
      </w:r>
      <w:r w:rsidRPr="00864086">
        <w:rPr>
          <w:rFonts w:cs="Arial"/>
          <w:sz w:val="26"/>
          <w:szCs w:val="26"/>
        </w:rPr>
        <w:t>debe de consultar a dicho grupo únicamente en aquellas situaciones en que el acto les genere un impacto significativo y que afecte sus condiciones de vida y el entorno en el que se desarrollan conforme al artículo 3, fracción VI, de la Ley de la Comisión para el Desa</w:t>
      </w:r>
      <w:r w:rsidR="00FE324E">
        <w:rPr>
          <w:rFonts w:cs="Arial"/>
          <w:sz w:val="26"/>
          <w:szCs w:val="26"/>
        </w:rPr>
        <w:t>rrollo de los Pueblos Indígenas</w:t>
      </w:r>
      <w:r w:rsidR="007F0C3C" w:rsidRPr="00894B94">
        <w:rPr>
          <w:rStyle w:val="Refdenotaalpie"/>
          <w:rFonts w:cs="Arial"/>
          <w:sz w:val="26"/>
          <w:szCs w:val="26"/>
          <w:lang w:eastAsia="es-MX"/>
        </w:rPr>
        <w:footnoteReference w:id="46"/>
      </w:r>
      <w:r w:rsidRPr="00864086">
        <w:rPr>
          <w:rFonts w:cs="Arial"/>
          <w:sz w:val="26"/>
          <w:szCs w:val="26"/>
        </w:rPr>
        <w:t>.</w:t>
      </w:r>
    </w:p>
    <w:p w:rsidR="001D7F75" w:rsidRPr="002C5B26" w:rsidRDefault="001D7F75" w:rsidP="002C5B26">
      <w:pPr>
        <w:pStyle w:val="corte4fondo"/>
        <w:numPr>
          <w:ilvl w:val="0"/>
          <w:numId w:val="1"/>
        </w:numPr>
        <w:tabs>
          <w:tab w:val="clear" w:pos="-3"/>
          <w:tab w:val="left" w:pos="0"/>
        </w:tabs>
        <w:spacing w:after="360" w:line="360" w:lineRule="auto"/>
        <w:ind w:left="0" w:hanging="567"/>
        <w:rPr>
          <w:rFonts w:cs="Arial"/>
          <w:sz w:val="26"/>
          <w:szCs w:val="26"/>
        </w:rPr>
      </w:pPr>
      <w:r>
        <w:rPr>
          <w:rFonts w:cs="Arial"/>
          <w:sz w:val="26"/>
          <w:szCs w:val="26"/>
        </w:rPr>
        <w:t xml:space="preserve">Por </w:t>
      </w:r>
      <w:r w:rsidR="00F16B7B">
        <w:rPr>
          <w:rFonts w:cs="Arial"/>
          <w:sz w:val="26"/>
          <w:szCs w:val="26"/>
        </w:rPr>
        <w:t>otra</w:t>
      </w:r>
      <w:r>
        <w:rPr>
          <w:rFonts w:cs="Arial"/>
          <w:sz w:val="26"/>
          <w:szCs w:val="26"/>
        </w:rPr>
        <w:t xml:space="preserve"> parte, en relación con los conceptos relativos a la omisión de realizar </w:t>
      </w:r>
      <w:r w:rsidR="00310D58">
        <w:rPr>
          <w:rFonts w:cs="Arial"/>
          <w:sz w:val="26"/>
          <w:szCs w:val="26"/>
        </w:rPr>
        <w:t>una</w:t>
      </w:r>
      <w:r>
        <w:rPr>
          <w:rFonts w:cs="Arial"/>
          <w:sz w:val="26"/>
          <w:szCs w:val="26"/>
        </w:rPr>
        <w:t xml:space="preserve"> consulta a las personas con discapacidad</w:t>
      </w:r>
      <w:r w:rsidR="002C5B26">
        <w:rPr>
          <w:rFonts w:cs="Arial"/>
          <w:sz w:val="26"/>
          <w:szCs w:val="26"/>
        </w:rPr>
        <w:t xml:space="preserve"> para expedir el Decreto</w:t>
      </w:r>
      <w:r w:rsidR="002C5B26" w:rsidRPr="002C5B26">
        <w:rPr>
          <w:rFonts w:cs="Arial"/>
          <w:sz w:val="26"/>
          <w:szCs w:val="26"/>
        </w:rPr>
        <w:t xml:space="preserve"> </w:t>
      </w:r>
      <w:r w:rsidR="002C5B26">
        <w:rPr>
          <w:rFonts w:cs="Arial"/>
          <w:sz w:val="26"/>
          <w:szCs w:val="26"/>
        </w:rPr>
        <w:t>N°</w:t>
      </w:r>
      <w:r w:rsidR="002C5B26" w:rsidRPr="00E267D3">
        <w:rPr>
          <w:rFonts w:cs="Arial"/>
          <w:sz w:val="26"/>
          <w:szCs w:val="26"/>
        </w:rPr>
        <w:t xml:space="preserve"> LXVI/RFLEY/0665/2020 III P.E.</w:t>
      </w:r>
      <w:r>
        <w:rPr>
          <w:rFonts w:cs="Arial"/>
          <w:sz w:val="26"/>
          <w:szCs w:val="26"/>
        </w:rPr>
        <w:t>, el Ejecutivo local señala que</w:t>
      </w:r>
      <w:r w:rsidR="005029F8">
        <w:rPr>
          <w:rFonts w:cs="Arial"/>
          <w:sz w:val="26"/>
          <w:szCs w:val="26"/>
        </w:rPr>
        <w:t xml:space="preserve"> ello</w:t>
      </w:r>
      <w:r>
        <w:rPr>
          <w:rFonts w:cs="Arial"/>
          <w:sz w:val="26"/>
          <w:szCs w:val="26"/>
        </w:rPr>
        <w:t xml:space="preserve"> no</w:t>
      </w:r>
      <w:r w:rsidR="00135EC8">
        <w:rPr>
          <w:rFonts w:cs="Arial"/>
          <w:sz w:val="26"/>
          <w:szCs w:val="26"/>
        </w:rPr>
        <w:t xml:space="preserve"> vulnera el artículo </w:t>
      </w:r>
      <w:r w:rsidR="003D610E">
        <w:rPr>
          <w:rFonts w:cs="Arial"/>
          <w:sz w:val="26"/>
          <w:szCs w:val="26"/>
        </w:rPr>
        <w:t>4.3 de la Convención</w:t>
      </w:r>
      <w:r w:rsidR="00EA55DE">
        <w:rPr>
          <w:rFonts w:cs="Arial"/>
          <w:sz w:val="26"/>
          <w:szCs w:val="26"/>
        </w:rPr>
        <w:t xml:space="preserve"> porque</w:t>
      </w:r>
      <w:r w:rsidR="003A727C">
        <w:rPr>
          <w:rFonts w:cs="Arial"/>
          <w:sz w:val="26"/>
          <w:szCs w:val="26"/>
        </w:rPr>
        <w:t xml:space="preserve"> en este caso</w:t>
      </w:r>
      <w:r w:rsidR="00EA55DE">
        <w:rPr>
          <w:rFonts w:cs="Arial"/>
          <w:sz w:val="26"/>
          <w:szCs w:val="26"/>
        </w:rPr>
        <w:t xml:space="preserve"> no </w:t>
      </w:r>
      <w:r>
        <w:rPr>
          <w:rFonts w:cs="Arial"/>
          <w:sz w:val="26"/>
          <w:szCs w:val="26"/>
        </w:rPr>
        <w:t>había obligación</w:t>
      </w:r>
      <w:r w:rsidR="00EA55DE">
        <w:rPr>
          <w:rFonts w:cs="Arial"/>
          <w:sz w:val="26"/>
          <w:szCs w:val="26"/>
        </w:rPr>
        <w:t xml:space="preserve"> de consultar</w:t>
      </w:r>
      <w:r w:rsidR="00310D58">
        <w:rPr>
          <w:rFonts w:cs="Arial"/>
          <w:sz w:val="26"/>
          <w:szCs w:val="26"/>
        </w:rPr>
        <w:t>l</w:t>
      </w:r>
      <w:r w:rsidR="003A727C">
        <w:rPr>
          <w:rFonts w:cs="Arial"/>
          <w:sz w:val="26"/>
          <w:szCs w:val="26"/>
        </w:rPr>
        <w:t>a</w:t>
      </w:r>
      <w:r w:rsidR="00310D58">
        <w:rPr>
          <w:rFonts w:cs="Arial"/>
          <w:sz w:val="26"/>
          <w:szCs w:val="26"/>
        </w:rPr>
        <w:t>s</w:t>
      </w:r>
      <w:r w:rsidR="00EA55DE">
        <w:rPr>
          <w:rFonts w:cs="Arial"/>
          <w:sz w:val="26"/>
          <w:szCs w:val="26"/>
        </w:rPr>
        <w:t>.</w:t>
      </w:r>
      <w:r w:rsidR="00E267D3">
        <w:rPr>
          <w:rFonts w:cs="Arial"/>
          <w:sz w:val="26"/>
          <w:szCs w:val="26"/>
        </w:rPr>
        <w:t xml:space="preserve"> </w:t>
      </w:r>
      <w:r w:rsidR="00EA55DE">
        <w:rPr>
          <w:rFonts w:cs="Arial"/>
          <w:sz w:val="26"/>
          <w:szCs w:val="26"/>
        </w:rPr>
        <w:t>Sostiene que</w:t>
      </w:r>
      <w:r w:rsidR="00E267D3">
        <w:rPr>
          <w:rFonts w:cs="Arial"/>
          <w:sz w:val="26"/>
          <w:szCs w:val="26"/>
        </w:rPr>
        <w:t xml:space="preserve"> </w:t>
      </w:r>
      <w:r w:rsidR="002C5B26">
        <w:rPr>
          <w:rFonts w:cs="Arial"/>
          <w:bCs/>
          <w:sz w:val="26"/>
          <w:szCs w:val="26"/>
        </w:rPr>
        <w:t xml:space="preserve">mediante </w:t>
      </w:r>
      <w:r w:rsidR="00AD36DB">
        <w:rPr>
          <w:rFonts w:cs="Arial"/>
          <w:bCs/>
          <w:sz w:val="26"/>
          <w:szCs w:val="26"/>
        </w:rPr>
        <w:t>dicho</w:t>
      </w:r>
      <w:r w:rsidR="00095116" w:rsidRPr="00E267D3">
        <w:rPr>
          <w:rFonts w:cs="Arial"/>
          <w:bCs/>
          <w:sz w:val="26"/>
          <w:szCs w:val="26"/>
        </w:rPr>
        <w:t xml:space="preserve"> </w:t>
      </w:r>
      <w:r w:rsidR="002C5B26">
        <w:rPr>
          <w:rFonts w:cs="Arial"/>
          <w:sz w:val="26"/>
          <w:szCs w:val="26"/>
        </w:rPr>
        <w:t>instrumento</w:t>
      </w:r>
      <w:r w:rsidR="00095116" w:rsidRPr="00E267D3">
        <w:rPr>
          <w:rFonts w:cs="Arial"/>
          <w:sz w:val="26"/>
          <w:szCs w:val="26"/>
        </w:rPr>
        <w:t xml:space="preserve"> el gobierno local buscó incluir en los ordenamientos aplicables el Centro de Personas Traductoras e Intérpretes para ayudar a que las personas con discapacidad </w:t>
      </w:r>
      <w:r w:rsidR="00E267D3">
        <w:rPr>
          <w:rFonts w:cs="Arial"/>
          <w:sz w:val="26"/>
          <w:szCs w:val="26"/>
        </w:rPr>
        <w:t>—</w:t>
      </w:r>
      <w:r w:rsidR="00095116" w:rsidRPr="00E267D3">
        <w:rPr>
          <w:rFonts w:cs="Arial"/>
          <w:sz w:val="26"/>
          <w:szCs w:val="26"/>
        </w:rPr>
        <w:t xml:space="preserve">particularmente con discapacidades </w:t>
      </w:r>
      <w:r w:rsidR="00E267D3">
        <w:rPr>
          <w:rFonts w:cs="Arial"/>
          <w:sz w:val="26"/>
          <w:szCs w:val="26"/>
        </w:rPr>
        <w:t>visuales, auditivas o del habla—</w:t>
      </w:r>
      <w:r w:rsidR="00095116" w:rsidRPr="00E267D3">
        <w:rPr>
          <w:rFonts w:cs="Arial"/>
          <w:sz w:val="26"/>
          <w:szCs w:val="26"/>
        </w:rPr>
        <w:t xml:space="preserve"> </w:t>
      </w:r>
      <w:r w:rsidR="00864086">
        <w:rPr>
          <w:rFonts w:cs="Arial"/>
          <w:sz w:val="26"/>
          <w:szCs w:val="26"/>
        </w:rPr>
        <w:t>pu</w:t>
      </w:r>
      <w:r w:rsidR="00095116" w:rsidRPr="00E267D3">
        <w:rPr>
          <w:rFonts w:cs="Arial"/>
          <w:sz w:val="26"/>
          <w:szCs w:val="26"/>
        </w:rPr>
        <w:t>d</w:t>
      </w:r>
      <w:r w:rsidR="00864086">
        <w:rPr>
          <w:rFonts w:cs="Arial"/>
          <w:sz w:val="26"/>
          <w:szCs w:val="26"/>
        </w:rPr>
        <w:t>ier</w:t>
      </w:r>
      <w:r w:rsidR="00095116" w:rsidRPr="00E267D3">
        <w:rPr>
          <w:rFonts w:cs="Arial"/>
          <w:sz w:val="26"/>
          <w:szCs w:val="26"/>
        </w:rPr>
        <w:t xml:space="preserve">an ejercer adecuadamente su derecho de acceso a la justicia, </w:t>
      </w:r>
      <w:r w:rsidR="001B07B8">
        <w:rPr>
          <w:rFonts w:cs="Arial"/>
          <w:sz w:val="26"/>
          <w:szCs w:val="26"/>
        </w:rPr>
        <w:t>mismo que</w:t>
      </w:r>
      <w:r w:rsidR="00095116" w:rsidRPr="00E267D3">
        <w:rPr>
          <w:rFonts w:cs="Arial"/>
          <w:sz w:val="26"/>
          <w:szCs w:val="26"/>
        </w:rPr>
        <w:t xml:space="preserve"> el Estado ya se encontraba obligado a garantizar, razón por la cual estima que la consulta no era necesaria. Explica que la finalidad de la reforma </w:t>
      </w:r>
      <w:r w:rsidR="001B07B8">
        <w:rPr>
          <w:rFonts w:cs="Arial"/>
          <w:sz w:val="26"/>
          <w:szCs w:val="26"/>
        </w:rPr>
        <w:t>era</w:t>
      </w:r>
      <w:r w:rsidR="00095116" w:rsidRPr="00E267D3">
        <w:rPr>
          <w:rFonts w:cs="Arial"/>
          <w:sz w:val="26"/>
          <w:szCs w:val="26"/>
        </w:rPr>
        <w:t xml:space="preserve"> que este grupo social t</w:t>
      </w:r>
      <w:r w:rsidR="001B07B8">
        <w:rPr>
          <w:rFonts w:cs="Arial"/>
          <w:sz w:val="26"/>
          <w:szCs w:val="26"/>
        </w:rPr>
        <w:t>uviera</w:t>
      </w:r>
      <w:r w:rsidR="00095116" w:rsidRPr="00E267D3">
        <w:rPr>
          <w:rFonts w:cs="Arial"/>
          <w:sz w:val="26"/>
          <w:szCs w:val="26"/>
        </w:rPr>
        <w:t xml:space="preserve"> una mejor calidad de vi</w:t>
      </w:r>
      <w:r w:rsidR="002C5B26">
        <w:rPr>
          <w:rFonts w:cs="Arial"/>
          <w:sz w:val="26"/>
          <w:szCs w:val="26"/>
        </w:rPr>
        <w:t xml:space="preserve">da en inclusión en la sociedad. </w:t>
      </w:r>
      <w:r w:rsidR="00EA55DE">
        <w:rPr>
          <w:rFonts w:cs="Arial"/>
          <w:bCs/>
          <w:sz w:val="26"/>
          <w:szCs w:val="26"/>
        </w:rPr>
        <w:t>Afirma</w:t>
      </w:r>
      <w:r w:rsidR="00095116" w:rsidRPr="002C5B26">
        <w:rPr>
          <w:rFonts w:cs="Arial"/>
          <w:bCs/>
          <w:sz w:val="26"/>
          <w:szCs w:val="26"/>
        </w:rPr>
        <w:t xml:space="preserve"> que l</w:t>
      </w:r>
      <w:r w:rsidR="00EA55DE">
        <w:rPr>
          <w:rFonts w:cs="Arial"/>
          <w:sz w:val="26"/>
          <w:szCs w:val="26"/>
        </w:rPr>
        <w:t>a c</w:t>
      </w:r>
      <w:r w:rsidR="00095116" w:rsidRPr="002C5B26">
        <w:rPr>
          <w:rFonts w:cs="Arial"/>
          <w:sz w:val="26"/>
          <w:szCs w:val="26"/>
        </w:rPr>
        <w:t>omisión dictaminadora de la iniciativa presentada</w:t>
      </w:r>
      <w:r w:rsidR="00EA55DE">
        <w:rPr>
          <w:rFonts w:cs="Arial"/>
          <w:sz w:val="26"/>
          <w:szCs w:val="26"/>
        </w:rPr>
        <w:t xml:space="preserve"> en el Congreso de Chihuahua</w:t>
      </w:r>
      <w:r w:rsidR="00095116" w:rsidRPr="002C5B26">
        <w:rPr>
          <w:rFonts w:cs="Arial"/>
          <w:sz w:val="26"/>
          <w:szCs w:val="26"/>
        </w:rPr>
        <w:t xml:space="preserve"> </w:t>
      </w:r>
      <w:r w:rsidR="00A072C3">
        <w:rPr>
          <w:rFonts w:cs="Arial"/>
          <w:sz w:val="26"/>
          <w:szCs w:val="26"/>
        </w:rPr>
        <w:t>hizo suya</w:t>
      </w:r>
      <w:r w:rsidR="00095116" w:rsidRPr="002C5B26">
        <w:rPr>
          <w:rFonts w:cs="Arial"/>
          <w:sz w:val="26"/>
          <w:szCs w:val="26"/>
        </w:rPr>
        <w:t xml:space="preserve"> la solicitud de incorporar a las personas con discapacidad en relación con el Centro de Personas Traductoras e Intérpretes presentada por el Director del Instituto Chihuahuense de la Lengua de Seña</w:t>
      </w:r>
      <w:r w:rsidR="00FE38D7">
        <w:rPr>
          <w:rFonts w:cs="Arial"/>
          <w:sz w:val="26"/>
          <w:szCs w:val="26"/>
        </w:rPr>
        <w:t>s Mexicana</w:t>
      </w:r>
      <w:r w:rsidR="00095116" w:rsidRPr="002C5B26">
        <w:rPr>
          <w:rFonts w:cs="Arial"/>
          <w:sz w:val="26"/>
          <w:szCs w:val="26"/>
        </w:rPr>
        <w:t xml:space="preserve"> A.C. y </w:t>
      </w:r>
      <w:r w:rsidR="00EA55DE">
        <w:rPr>
          <w:rFonts w:cs="Arial"/>
          <w:sz w:val="26"/>
          <w:szCs w:val="26"/>
        </w:rPr>
        <w:t>por</w:t>
      </w:r>
      <w:r w:rsidR="00095116" w:rsidRPr="002C5B26">
        <w:rPr>
          <w:rFonts w:cs="Arial"/>
          <w:sz w:val="26"/>
          <w:szCs w:val="26"/>
        </w:rPr>
        <w:t xml:space="preserve"> la Regidora y Presidenta de la Comisión de la Mujer, Familia y Derechos Humanos del Ayuntamiento de Chihuahua. Consecuentemente, concluye que la reforma cuestionad</w:t>
      </w:r>
      <w:r w:rsidR="003D610E">
        <w:rPr>
          <w:rFonts w:cs="Arial"/>
          <w:sz w:val="26"/>
          <w:szCs w:val="26"/>
        </w:rPr>
        <w:t>a es acorde con los artículos 4.</w:t>
      </w:r>
      <w:r w:rsidR="00095116" w:rsidRPr="002C5B26">
        <w:rPr>
          <w:rFonts w:cs="Arial"/>
          <w:sz w:val="26"/>
          <w:szCs w:val="26"/>
        </w:rPr>
        <w:t xml:space="preserve">3 y 13 de la Convención, 29 de la Ley General para la Inclusión de Personas con Discapacidad y 51 de la Ley </w:t>
      </w:r>
      <w:r w:rsidR="00095116" w:rsidRPr="002C5B26">
        <w:rPr>
          <w:rFonts w:cs="Arial"/>
          <w:sz w:val="26"/>
          <w:szCs w:val="26"/>
        </w:rPr>
        <w:lastRenderedPageBreak/>
        <w:t>para la Inclusión y Desarrollo de las Personas con Discapacidad en el Estado de Chihuahua</w:t>
      </w:r>
      <w:r w:rsidR="00B37804" w:rsidRPr="00894B94">
        <w:rPr>
          <w:rStyle w:val="Refdenotaalpie"/>
          <w:rFonts w:cs="Arial"/>
          <w:sz w:val="26"/>
          <w:szCs w:val="26"/>
          <w:lang w:eastAsia="es-MX"/>
        </w:rPr>
        <w:footnoteReference w:id="47"/>
      </w:r>
      <w:r w:rsidR="00095116" w:rsidRPr="002C5B26">
        <w:rPr>
          <w:rFonts w:cs="Arial"/>
          <w:sz w:val="26"/>
          <w:szCs w:val="26"/>
        </w:rPr>
        <w:t>.</w:t>
      </w:r>
    </w:p>
    <w:p w:rsidR="001D7F75" w:rsidRPr="00982764" w:rsidRDefault="001D7F75" w:rsidP="001D7F75">
      <w:pPr>
        <w:pStyle w:val="corte4fondo"/>
        <w:numPr>
          <w:ilvl w:val="0"/>
          <w:numId w:val="1"/>
        </w:numPr>
        <w:tabs>
          <w:tab w:val="clear" w:pos="-3"/>
          <w:tab w:val="left" w:pos="0"/>
        </w:tabs>
        <w:spacing w:after="360" w:line="360" w:lineRule="auto"/>
        <w:ind w:left="0" w:hanging="567"/>
        <w:rPr>
          <w:rFonts w:cs="Arial"/>
          <w:b/>
          <w:sz w:val="26"/>
          <w:szCs w:val="26"/>
        </w:rPr>
      </w:pPr>
      <w:r>
        <w:rPr>
          <w:rFonts w:cs="Arial"/>
          <w:b/>
          <w:sz w:val="26"/>
          <w:szCs w:val="26"/>
        </w:rPr>
        <w:t>Cuestiones jurídicas por resolver</w:t>
      </w:r>
      <w:r w:rsidRPr="00226ECE">
        <w:rPr>
          <w:rFonts w:cs="Arial"/>
          <w:b/>
          <w:sz w:val="26"/>
          <w:szCs w:val="26"/>
        </w:rPr>
        <w:t>.</w:t>
      </w:r>
      <w:r>
        <w:rPr>
          <w:rFonts w:cs="Arial"/>
          <w:b/>
          <w:sz w:val="26"/>
          <w:szCs w:val="26"/>
        </w:rPr>
        <w:t xml:space="preserve"> </w:t>
      </w:r>
      <w:r w:rsidR="00BA0C83">
        <w:rPr>
          <w:rFonts w:cs="Arial"/>
          <w:sz w:val="26"/>
          <w:szCs w:val="26"/>
        </w:rPr>
        <w:t xml:space="preserve">Como puede observarse, </w:t>
      </w:r>
      <w:r w:rsidR="00010DA2">
        <w:rPr>
          <w:rFonts w:cs="Arial"/>
          <w:sz w:val="26"/>
          <w:szCs w:val="26"/>
        </w:rPr>
        <w:t>al abordar</w:t>
      </w:r>
      <w:r w:rsidR="00627A62">
        <w:rPr>
          <w:rFonts w:cs="Arial"/>
          <w:sz w:val="26"/>
          <w:szCs w:val="26"/>
        </w:rPr>
        <w:t xml:space="preserve"> los planteamientos de la Comisión Nacional de los Derechos Humanos</w:t>
      </w:r>
      <w:r w:rsidR="00010DA2">
        <w:rPr>
          <w:rFonts w:cs="Arial"/>
          <w:sz w:val="26"/>
          <w:szCs w:val="26"/>
        </w:rPr>
        <w:t xml:space="preserve"> </w:t>
      </w:r>
      <w:r w:rsidR="006426EF">
        <w:rPr>
          <w:rFonts w:cs="Arial"/>
          <w:sz w:val="26"/>
          <w:szCs w:val="26"/>
        </w:rPr>
        <w:t xml:space="preserve">en su informe </w:t>
      </w:r>
      <w:r w:rsidR="006E3996">
        <w:rPr>
          <w:rFonts w:cs="Arial"/>
          <w:sz w:val="26"/>
          <w:szCs w:val="26"/>
        </w:rPr>
        <w:t>e</w:t>
      </w:r>
      <w:r w:rsidR="00E267D3">
        <w:rPr>
          <w:rFonts w:cs="Arial"/>
          <w:sz w:val="26"/>
          <w:szCs w:val="26"/>
        </w:rPr>
        <w:t xml:space="preserve">l Poder Ejecutivo de Chihuahua </w:t>
      </w:r>
      <w:r w:rsidR="006E3996">
        <w:rPr>
          <w:rFonts w:cs="Arial"/>
          <w:sz w:val="26"/>
          <w:szCs w:val="26"/>
        </w:rPr>
        <w:t>reconoce</w:t>
      </w:r>
      <w:r w:rsidR="00E267D3">
        <w:rPr>
          <w:rFonts w:cs="Arial"/>
          <w:sz w:val="26"/>
          <w:szCs w:val="26"/>
        </w:rPr>
        <w:t xml:space="preserve"> que</w:t>
      </w:r>
      <w:r w:rsidR="006E3996">
        <w:rPr>
          <w:rFonts w:cs="Arial"/>
          <w:sz w:val="26"/>
          <w:szCs w:val="26"/>
        </w:rPr>
        <w:t xml:space="preserve"> </w:t>
      </w:r>
      <w:r w:rsidR="00DA4163">
        <w:rPr>
          <w:rFonts w:cs="Arial"/>
          <w:sz w:val="26"/>
          <w:szCs w:val="26"/>
        </w:rPr>
        <w:t xml:space="preserve">efectivamente </w:t>
      </w:r>
      <w:r w:rsidR="00E267D3">
        <w:rPr>
          <w:rFonts w:cs="Arial"/>
          <w:sz w:val="26"/>
          <w:szCs w:val="26"/>
        </w:rPr>
        <w:t>no se llevó a cabo algú</w:t>
      </w:r>
      <w:r w:rsidR="00627A62">
        <w:rPr>
          <w:rFonts w:cs="Arial"/>
          <w:sz w:val="26"/>
          <w:szCs w:val="26"/>
        </w:rPr>
        <w:t>n tipo de consulta</w:t>
      </w:r>
      <w:r w:rsidR="00DA4163" w:rsidRPr="00DA4163">
        <w:rPr>
          <w:rFonts w:cs="Arial"/>
          <w:sz w:val="26"/>
          <w:szCs w:val="26"/>
        </w:rPr>
        <w:t xml:space="preserve"> </w:t>
      </w:r>
      <w:r w:rsidR="00DA4163">
        <w:rPr>
          <w:rFonts w:cs="Arial"/>
          <w:sz w:val="26"/>
          <w:szCs w:val="26"/>
        </w:rPr>
        <w:t>para expedir</w:t>
      </w:r>
      <w:r w:rsidR="00D8051F">
        <w:rPr>
          <w:rFonts w:cs="Arial"/>
          <w:sz w:val="26"/>
          <w:szCs w:val="26"/>
        </w:rPr>
        <w:t xml:space="preserve"> </w:t>
      </w:r>
      <w:r w:rsidR="00E50B88">
        <w:rPr>
          <w:rFonts w:cs="Arial"/>
          <w:sz w:val="26"/>
          <w:szCs w:val="26"/>
        </w:rPr>
        <w:t>los decretos impugnados</w:t>
      </w:r>
      <w:r w:rsidR="004F17F6">
        <w:rPr>
          <w:rFonts w:cs="Arial"/>
          <w:sz w:val="26"/>
          <w:szCs w:val="26"/>
        </w:rPr>
        <w:t>,</w:t>
      </w:r>
      <w:r w:rsidR="00803532">
        <w:rPr>
          <w:rFonts w:cs="Arial"/>
          <w:sz w:val="26"/>
          <w:szCs w:val="26"/>
        </w:rPr>
        <w:t xml:space="preserve"> </w:t>
      </w:r>
      <w:r w:rsidR="004F17F6">
        <w:rPr>
          <w:rFonts w:cs="Arial"/>
          <w:sz w:val="26"/>
          <w:szCs w:val="26"/>
        </w:rPr>
        <w:t>pues</w:t>
      </w:r>
      <w:r w:rsidR="00803532">
        <w:rPr>
          <w:rFonts w:cs="Arial"/>
          <w:sz w:val="26"/>
          <w:szCs w:val="26"/>
        </w:rPr>
        <w:t xml:space="preserve"> </w:t>
      </w:r>
      <w:r w:rsidR="006E3996">
        <w:rPr>
          <w:rFonts w:cs="Arial"/>
          <w:sz w:val="26"/>
          <w:szCs w:val="26"/>
        </w:rPr>
        <w:t xml:space="preserve">considera que </w:t>
      </w:r>
      <w:r w:rsidR="004F17F6">
        <w:rPr>
          <w:rFonts w:cs="Arial"/>
          <w:sz w:val="26"/>
          <w:szCs w:val="26"/>
        </w:rPr>
        <w:t>en ninguno de los casos</w:t>
      </w:r>
      <w:r w:rsidR="00803532">
        <w:rPr>
          <w:rFonts w:cs="Arial"/>
          <w:sz w:val="26"/>
          <w:szCs w:val="26"/>
        </w:rPr>
        <w:t xml:space="preserve"> </w:t>
      </w:r>
      <w:r w:rsidR="00EE4618">
        <w:rPr>
          <w:rFonts w:cs="Arial"/>
          <w:sz w:val="26"/>
          <w:szCs w:val="26"/>
        </w:rPr>
        <w:t xml:space="preserve">esto </w:t>
      </w:r>
      <w:r w:rsidR="006E3996">
        <w:rPr>
          <w:rFonts w:cs="Arial"/>
          <w:sz w:val="26"/>
          <w:szCs w:val="26"/>
        </w:rPr>
        <w:t>era</w:t>
      </w:r>
      <w:r w:rsidR="00803532">
        <w:rPr>
          <w:rFonts w:cs="Arial"/>
          <w:sz w:val="26"/>
          <w:szCs w:val="26"/>
        </w:rPr>
        <w:t xml:space="preserve"> necesario</w:t>
      </w:r>
      <w:r w:rsidR="00533FCA">
        <w:rPr>
          <w:rFonts w:cs="Arial"/>
          <w:sz w:val="26"/>
          <w:szCs w:val="26"/>
        </w:rPr>
        <w:t xml:space="preserve">. </w:t>
      </w:r>
      <w:r w:rsidR="00310D58">
        <w:rPr>
          <w:rFonts w:cs="Arial"/>
          <w:sz w:val="26"/>
          <w:szCs w:val="26"/>
        </w:rPr>
        <w:t xml:space="preserve">Al estar </w:t>
      </w:r>
      <w:r w:rsidR="007766A0">
        <w:rPr>
          <w:rFonts w:cs="Arial"/>
          <w:sz w:val="26"/>
          <w:szCs w:val="26"/>
        </w:rPr>
        <w:t xml:space="preserve">fuera de </w:t>
      </w:r>
      <w:r w:rsidR="007E761E">
        <w:rPr>
          <w:rFonts w:cs="Arial"/>
          <w:sz w:val="26"/>
          <w:szCs w:val="26"/>
        </w:rPr>
        <w:t>duda</w:t>
      </w:r>
      <w:r w:rsidR="00310D58">
        <w:rPr>
          <w:rFonts w:cs="Arial"/>
          <w:sz w:val="26"/>
          <w:szCs w:val="26"/>
        </w:rPr>
        <w:t xml:space="preserve"> que </w:t>
      </w:r>
      <w:r w:rsidR="00DA4163">
        <w:rPr>
          <w:rFonts w:cs="Arial"/>
          <w:sz w:val="26"/>
          <w:szCs w:val="26"/>
        </w:rPr>
        <w:t>las autoridades de</w:t>
      </w:r>
      <w:r w:rsidR="00470C72">
        <w:rPr>
          <w:rFonts w:cs="Arial"/>
          <w:sz w:val="26"/>
          <w:szCs w:val="26"/>
        </w:rPr>
        <w:t>l Estado de Chihuahua</w:t>
      </w:r>
      <w:r w:rsidR="00DA4163">
        <w:rPr>
          <w:rFonts w:cs="Arial"/>
          <w:sz w:val="26"/>
          <w:szCs w:val="26"/>
        </w:rPr>
        <w:t xml:space="preserve"> </w:t>
      </w:r>
      <w:r w:rsidR="007E761E">
        <w:rPr>
          <w:rFonts w:cs="Arial"/>
          <w:sz w:val="26"/>
          <w:szCs w:val="26"/>
        </w:rPr>
        <w:t>omiti</w:t>
      </w:r>
      <w:r w:rsidR="00DA4163">
        <w:rPr>
          <w:rFonts w:cs="Arial"/>
          <w:sz w:val="26"/>
          <w:szCs w:val="26"/>
        </w:rPr>
        <w:t>eron</w:t>
      </w:r>
      <w:r w:rsidR="007E761E">
        <w:rPr>
          <w:rFonts w:cs="Arial"/>
          <w:sz w:val="26"/>
          <w:szCs w:val="26"/>
        </w:rPr>
        <w:t xml:space="preserve"> realizar </w:t>
      </w:r>
      <w:r w:rsidR="00310D58">
        <w:rPr>
          <w:rFonts w:cs="Arial"/>
          <w:sz w:val="26"/>
          <w:szCs w:val="26"/>
        </w:rPr>
        <w:t>dichos procesos consultivos</w:t>
      </w:r>
      <w:r w:rsidR="00533FCA">
        <w:rPr>
          <w:rFonts w:cs="Arial"/>
          <w:sz w:val="26"/>
          <w:szCs w:val="26"/>
        </w:rPr>
        <w:t>,</w:t>
      </w:r>
      <w:r w:rsidR="00AB6D81" w:rsidRPr="00AB6D81">
        <w:rPr>
          <w:rFonts w:cs="Arial"/>
          <w:sz w:val="26"/>
          <w:szCs w:val="26"/>
        </w:rPr>
        <w:t xml:space="preserve"> </w:t>
      </w:r>
      <w:r w:rsidR="00AB6D81">
        <w:rPr>
          <w:rFonts w:cs="Arial"/>
          <w:sz w:val="26"/>
          <w:szCs w:val="26"/>
        </w:rPr>
        <w:t>en el presente asunto</w:t>
      </w:r>
      <w:r w:rsidR="00E757D3">
        <w:rPr>
          <w:rFonts w:cs="Arial"/>
          <w:sz w:val="26"/>
          <w:szCs w:val="26"/>
        </w:rPr>
        <w:t xml:space="preserve"> </w:t>
      </w:r>
      <w:r w:rsidR="004F17F6">
        <w:rPr>
          <w:rFonts w:cs="Arial"/>
          <w:sz w:val="26"/>
          <w:szCs w:val="26"/>
        </w:rPr>
        <w:t xml:space="preserve">la validez constitucional de los decretos impugnados depende </w:t>
      </w:r>
      <w:r w:rsidR="00DA4163">
        <w:rPr>
          <w:rFonts w:cs="Arial"/>
          <w:sz w:val="26"/>
          <w:szCs w:val="26"/>
        </w:rPr>
        <w:t xml:space="preserve">básicamente </w:t>
      </w:r>
      <w:r w:rsidR="004F17F6">
        <w:rPr>
          <w:rFonts w:cs="Arial"/>
          <w:sz w:val="26"/>
          <w:szCs w:val="26"/>
        </w:rPr>
        <w:t>de</w:t>
      </w:r>
      <w:r w:rsidR="00533FCA">
        <w:rPr>
          <w:rFonts w:cs="Arial"/>
          <w:sz w:val="26"/>
          <w:szCs w:val="26"/>
        </w:rPr>
        <w:t xml:space="preserve"> la respuesta </w:t>
      </w:r>
      <w:r w:rsidR="00DA4163">
        <w:rPr>
          <w:rFonts w:cs="Arial"/>
          <w:sz w:val="26"/>
          <w:szCs w:val="26"/>
        </w:rPr>
        <w:t xml:space="preserve">que </w:t>
      </w:r>
      <w:r w:rsidR="00AD2A83">
        <w:rPr>
          <w:rFonts w:cs="Arial"/>
          <w:sz w:val="26"/>
          <w:szCs w:val="26"/>
        </w:rPr>
        <w:t>esta Suprema Corte</w:t>
      </w:r>
      <w:r w:rsidR="00DA4163">
        <w:rPr>
          <w:rFonts w:cs="Arial"/>
          <w:sz w:val="26"/>
          <w:szCs w:val="26"/>
        </w:rPr>
        <w:t xml:space="preserve"> dé </w:t>
      </w:r>
      <w:r w:rsidR="00533FCA">
        <w:rPr>
          <w:rFonts w:cs="Arial"/>
          <w:sz w:val="26"/>
          <w:szCs w:val="26"/>
        </w:rPr>
        <w:t>a</w:t>
      </w:r>
      <w:r w:rsidR="004F17F6">
        <w:rPr>
          <w:rFonts w:cs="Arial"/>
          <w:sz w:val="26"/>
          <w:szCs w:val="26"/>
        </w:rPr>
        <w:t xml:space="preserve"> </w:t>
      </w:r>
      <w:r w:rsidR="00DA4163">
        <w:rPr>
          <w:rFonts w:cs="Arial"/>
          <w:sz w:val="26"/>
          <w:szCs w:val="26"/>
        </w:rPr>
        <w:t xml:space="preserve">las </w:t>
      </w:r>
      <w:r w:rsidR="004F17F6">
        <w:rPr>
          <w:rFonts w:cs="Arial"/>
          <w:sz w:val="26"/>
          <w:szCs w:val="26"/>
        </w:rPr>
        <w:t xml:space="preserve">dos </w:t>
      </w:r>
      <w:r w:rsidR="00DA4163">
        <w:rPr>
          <w:rFonts w:cs="Arial"/>
          <w:sz w:val="26"/>
          <w:szCs w:val="26"/>
        </w:rPr>
        <w:t>siguientes</w:t>
      </w:r>
      <w:r w:rsidR="004F17F6">
        <w:rPr>
          <w:rFonts w:cs="Arial"/>
          <w:sz w:val="26"/>
          <w:szCs w:val="26"/>
        </w:rPr>
        <w:t xml:space="preserve"> preguntas</w:t>
      </w:r>
      <w:r>
        <w:rPr>
          <w:rFonts w:cs="Arial"/>
          <w:sz w:val="26"/>
          <w:szCs w:val="26"/>
        </w:rPr>
        <w:t>:</w:t>
      </w:r>
    </w:p>
    <w:p w:rsidR="001D7F75" w:rsidRDefault="001D7F75" w:rsidP="001D7F75">
      <w:pPr>
        <w:pStyle w:val="corte4fondo"/>
        <w:spacing w:after="360" w:line="360" w:lineRule="auto"/>
        <w:ind w:firstLine="0"/>
        <w:rPr>
          <w:rFonts w:cs="Arial"/>
          <w:sz w:val="26"/>
          <w:szCs w:val="26"/>
        </w:rPr>
      </w:pPr>
      <w:r w:rsidRPr="00982764">
        <w:rPr>
          <w:rFonts w:cs="Arial"/>
          <w:sz w:val="26"/>
          <w:szCs w:val="26"/>
        </w:rPr>
        <w:t>1. ¿Existía obligación de llevar a cabo una consulta</w:t>
      </w:r>
      <w:r>
        <w:rPr>
          <w:rFonts w:cs="Arial"/>
          <w:sz w:val="26"/>
          <w:szCs w:val="26"/>
        </w:rPr>
        <w:t xml:space="preserve"> </w:t>
      </w:r>
      <w:r w:rsidR="00E267D3">
        <w:rPr>
          <w:rFonts w:cs="Arial"/>
          <w:sz w:val="26"/>
          <w:szCs w:val="26"/>
        </w:rPr>
        <w:t>a los pueblos</w:t>
      </w:r>
      <w:r w:rsidR="000A4D1C">
        <w:rPr>
          <w:rFonts w:cs="Arial"/>
          <w:sz w:val="26"/>
          <w:szCs w:val="26"/>
        </w:rPr>
        <w:t xml:space="preserve"> y comunidades indígenas </w:t>
      </w:r>
      <w:r w:rsidR="007766A0">
        <w:rPr>
          <w:rFonts w:cs="Arial"/>
          <w:sz w:val="26"/>
          <w:szCs w:val="26"/>
        </w:rPr>
        <w:t xml:space="preserve">en </w:t>
      </w:r>
      <w:r w:rsidR="00E267D3">
        <w:rPr>
          <w:rFonts w:cs="Arial"/>
          <w:sz w:val="26"/>
          <w:szCs w:val="26"/>
        </w:rPr>
        <w:t>e</w:t>
      </w:r>
      <w:r w:rsidR="00533FCA">
        <w:rPr>
          <w:rFonts w:cs="Arial"/>
          <w:sz w:val="26"/>
          <w:szCs w:val="26"/>
        </w:rPr>
        <w:t>l</w:t>
      </w:r>
      <w:r w:rsidR="00E267D3">
        <w:rPr>
          <w:rFonts w:cs="Arial"/>
          <w:sz w:val="26"/>
          <w:szCs w:val="26"/>
        </w:rPr>
        <w:t xml:space="preserve"> </w:t>
      </w:r>
      <w:r w:rsidR="00533FCA">
        <w:rPr>
          <w:rFonts w:cs="Arial"/>
          <w:sz w:val="26"/>
          <w:szCs w:val="26"/>
        </w:rPr>
        <w:t>Estado de Chihuahua</w:t>
      </w:r>
      <w:r w:rsidR="004973D2">
        <w:rPr>
          <w:rFonts w:cs="Arial"/>
          <w:sz w:val="26"/>
          <w:szCs w:val="26"/>
        </w:rPr>
        <w:t xml:space="preserve"> para expedir</w:t>
      </w:r>
      <w:r w:rsidR="004E6739">
        <w:rPr>
          <w:rFonts w:cs="Arial"/>
          <w:sz w:val="26"/>
          <w:szCs w:val="26"/>
        </w:rPr>
        <w:t xml:space="preserve"> </w:t>
      </w:r>
      <w:r w:rsidR="004973D2">
        <w:rPr>
          <w:rFonts w:cs="Arial"/>
          <w:sz w:val="26"/>
          <w:szCs w:val="26"/>
        </w:rPr>
        <w:t>los</w:t>
      </w:r>
      <w:r w:rsidR="00A41D7B" w:rsidRPr="00A41D7B">
        <w:rPr>
          <w:rFonts w:cs="Arial"/>
          <w:sz w:val="26"/>
          <w:szCs w:val="26"/>
        </w:rPr>
        <w:t xml:space="preserve"> </w:t>
      </w:r>
      <w:r w:rsidR="00A41D7B">
        <w:rPr>
          <w:rFonts w:cs="Arial"/>
          <w:sz w:val="26"/>
          <w:szCs w:val="26"/>
        </w:rPr>
        <w:t>decretos impugnados</w:t>
      </w:r>
      <w:r w:rsidRPr="00982764">
        <w:rPr>
          <w:rFonts w:cs="Arial"/>
          <w:sz w:val="26"/>
          <w:szCs w:val="26"/>
        </w:rPr>
        <w:t>?</w:t>
      </w:r>
    </w:p>
    <w:p w:rsidR="001D7F75" w:rsidRPr="00982764" w:rsidRDefault="001D7F75" w:rsidP="001D7F75">
      <w:pPr>
        <w:pStyle w:val="corte4fondo"/>
        <w:spacing w:after="360" w:line="360" w:lineRule="auto"/>
        <w:ind w:firstLine="0"/>
        <w:rPr>
          <w:rFonts w:cs="Arial"/>
          <w:b/>
          <w:sz w:val="26"/>
          <w:szCs w:val="26"/>
        </w:rPr>
      </w:pPr>
      <w:r>
        <w:rPr>
          <w:rFonts w:cs="Arial"/>
          <w:sz w:val="26"/>
          <w:szCs w:val="26"/>
        </w:rPr>
        <w:t xml:space="preserve">2. ¿Existía obligación de llevar a cabo una consulta </w:t>
      </w:r>
      <w:r w:rsidR="00E267D3">
        <w:rPr>
          <w:rFonts w:cs="Arial"/>
          <w:sz w:val="26"/>
          <w:szCs w:val="26"/>
        </w:rPr>
        <w:t>a las</w:t>
      </w:r>
      <w:r>
        <w:rPr>
          <w:rFonts w:cs="Arial"/>
          <w:sz w:val="26"/>
          <w:szCs w:val="26"/>
        </w:rPr>
        <w:t xml:space="preserve"> personas con discapacidad </w:t>
      </w:r>
      <w:r w:rsidR="007766A0">
        <w:rPr>
          <w:rFonts w:cs="Arial"/>
          <w:sz w:val="26"/>
          <w:szCs w:val="26"/>
        </w:rPr>
        <w:t xml:space="preserve">en el Estado de Chihuahua </w:t>
      </w:r>
      <w:r>
        <w:rPr>
          <w:rFonts w:cs="Arial"/>
          <w:sz w:val="26"/>
          <w:szCs w:val="26"/>
        </w:rPr>
        <w:t xml:space="preserve">para expedir el </w:t>
      </w:r>
      <w:r w:rsidR="005A5D7E">
        <w:rPr>
          <w:rFonts w:cs="Arial"/>
          <w:sz w:val="26"/>
          <w:szCs w:val="26"/>
        </w:rPr>
        <w:t>Decreto N°</w:t>
      </w:r>
      <w:r w:rsidR="009F38CA">
        <w:rPr>
          <w:rFonts w:cs="Arial"/>
          <w:sz w:val="26"/>
          <w:szCs w:val="26"/>
        </w:rPr>
        <w:t xml:space="preserve"> LXVI/RFLEY/0665/2020 III P.E</w:t>
      </w:r>
      <w:r>
        <w:rPr>
          <w:rFonts w:cs="Arial"/>
          <w:sz w:val="26"/>
          <w:szCs w:val="26"/>
        </w:rPr>
        <w:t>?</w:t>
      </w:r>
    </w:p>
    <w:p w:rsidR="001D7F75" w:rsidRPr="00982764" w:rsidRDefault="001D7F75" w:rsidP="001D7F75">
      <w:pPr>
        <w:pStyle w:val="corte4fondo"/>
        <w:numPr>
          <w:ilvl w:val="0"/>
          <w:numId w:val="1"/>
        </w:numPr>
        <w:tabs>
          <w:tab w:val="clear" w:pos="-3"/>
          <w:tab w:val="left" w:pos="0"/>
        </w:tabs>
        <w:spacing w:after="360" w:line="360" w:lineRule="auto"/>
        <w:ind w:left="0" w:hanging="567"/>
        <w:rPr>
          <w:rFonts w:cs="Arial"/>
          <w:sz w:val="26"/>
          <w:szCs w:val="26"/>
        </w:rPr>
      </w:pPr>
      <w:r w:rsidRPr="00982764">
        <w:rPr>
          <w:rFonts w:cs="Arial"/>
          <w:sz w:val="26"/>
          <w:szCs w:val="26"/>
        </w:rPr>
        <w:t>A</w:t>
      </w:r>
      <w:r>
        <w:rPr>
          <w:rFonts w:cs="Arial"/>
          <w:sz w:val="26"/>
          <w:szCs w:val="26"/>
        </w:rPr>
        <w:t xml:space="preserve"> continuación se aborda </w:t>
      </w:r>
      <w:r w:rsidR="004559ED" w:rsidRPr="00A664F3">
        <w:rPr>
          <w:rFonts w:cs="Arial"/>
          <w:sz w:val="26"/>
          <w:szCs w:val="26"/>
        </w:rPr>
        <w:t>cada una</w:t>
      </w:r>
      <w:r w:rsidR="004559ED">
        <w:rPr>
          <w:rFonts w:cs="Arial"/>
          <w:sz w:val="26"/>
          <w:szCs w:val="26"/>
        </w:rPr>
        <w:t xml:space="preserve"> de estas cuestiones</w:t>
      </w:r>
      <w:r>
        <w:rPr>
          <w:rFonts w:cs="Arial"/>
          <w:sz w:val="26"/>
          <w:szCs w:val="26"/>
        </w:rPr>
        <w:t>.</w:t>
      </w:r>
    </w:p>
    <w:p w:rsidR="001D7F75" w:rsidRPr="0033176A" w:rsidRDefault="001D7F75" w:rsidP="001D7F75">
      <w:pPr>
        <w:pStyle w:val="corte4fondo"/>
        <w:tabs>
          <w:tab w:val="left" w:pos="0"/>
        </w:tabs>
        <w:spacing w:after="360" w:line="360" w:lineRule="auto"/>
        <w:ind w:firstLine="0"/>
        <w:rPr>
          <w:rFonts w:cs="Arial"/>
          <w:b/>
          <w:sz w:val="24"/>
        </w:rPr>
      </w:pPr>
      <w:r>
        <w:rPr>
          <w:rFonts w:cs="Arial"/>
          <w:b/>
          <w:sz w:val="26"/>
          <w:szCs w:val="26"/>
        </w:rPr>
        <w:t xml:space="preserve">1. </w:t>
      </w:r>
      <w:r w:rsidRPr="00226ECE">
        <w:rPr>
          <w:rFonts w:cs="Arial"/>
          <w:b/>
          <w:sz w:val="26"/>
          <w:szCs w:val="26"/>
        </w:rPr>
        <w:t>¿</w:t>
      </w:r>
      <w:r w:rsidR="00533FCA" w:rsidRPr="00533FCA">
        <w:rPr>
          <w:rFonts w:cs="Arial"/>
          <w:b/>
          <w:sz w:val="26"/>
          <w:szCs w:val="26"/>
        </w:rPr>
        <w:t>Existía obligación de llevar a cabo una consulta a los pueblos y comunida</w:t>
      </w:r>
      <w:r w:rsidR="000A4D1C">
        <w:rPr>
          <w:rFonts w:cs="Arial"/>
          <w:b/>
          <w:sz w:val="26"/>
          <w:szCs w:val="26"/>
        </w:rPr>
        <w:t xml:space="preserve">des indígenas </w:t>
      </w:r>
      <w:r w:rsidR="007766A0">
        <w:rPr>
          <w:rFonts w:cs="Arial"/>
          <w:b/>
          <w:sz w:val="26"/>
          <w:szCs w:val="26"/>
        </w:rPr>
        <w:t xml:space="preserve">en </w:t>
      </w:r>
      <w:r w:rsidR="00533FCA" w:rsidRPr="00533FCA">
        <w:rPr>
          <w:rFonts w:cs="Arial"/>
          <w:b/>
          <w:sz w:val="26"/>
          <w:szCs w:val="26"/>
        </w:rPr>
        <w:t>el Estado de Chihuahua para expedir los decretos impugnados</w:t>
      </w:r>
      <w:r w:rsidRPr="00226ECE">
        <w:rPr>
          <w:rFonts w:cs="Arial"/>
          <w:b/>
          <w:sz w:val="26"/>
          <w:szCs w:val="26"/>
        </w:rPr>
        <w:t>?</w:t>
      </w:r>
    </w:p>
    <w:p w:rsidR="001D7F75" w:rsidRPr="00AB4A91" w:rsidRDefault="00F84620" w:rsidP="001D7F75">
      <w:pPr>
        <w:pStyle w:val="corte4fondo"/>
        <w:numPr>
          <w:ilvl w:val="0"/>
          <w:numId w:val="1"/>
        </w:numPr>
        <w:tabs>
          <w:tab w:val="clear" w:pos="-3"/>
          <w:tab w:val="left" w:pos="0"/>
        </w:tabs>
        <w:spacing w:after="360" w:line="360" w:lineRule="auto"/>
        <w:ind w:left="0" w:hanging="567"/>
        <w:rPr>
          <w:rFonts w:cs="Arial"/>
          <w:b/>
          <w:sz w:val="24"/>
        </w:rPr>
      </w:pPr>
      <w:r>
        <w:rPr>
          <w:rFonts w:cs="Arial"/>
          <w:sz w:val="26"/>
          <w:szCs w:val="26"/>
        </w:rPr>
        <w:t>En vista</w:t>
      </w:r>
      <w:r w:rsidR="00042908">
        <w:rPr>
          <w:rFonts w:cs="Arial"/>
          <w:sz w:val="26"/>
          <w:szCs w:val="26"/>
        </w:rPr>
        <w:t xml:space="preserve"> de los</w:t>
      </w:r>
      <w:r w:rsidR="001D7F75">
        <w:rPr>
          <w:rFonts w:cs="Arial"/>
          <w:sz w:val="26"/>
          <w:szCs w:val="26"/>
        </w:rPr>
        <w:t xml:space="preserve"> precedentes de</w:t>
      </w:r>
      <w:r w:rsidR="00567180">
        <w:rPr>
          <w:rFonts w:cs="Arial"/>
          <w:sz w:val="26"/>
          <w:szCs w:val="26"/>
        </w:rPr>
        <w:t>l</w:t>
      </w:r>
      <w:r w:rsidR="001D7F75">
        <w:rPr>
          <w:rFonts w:cs="Arial"/>
          <w:sz w:val="26"/>
          <w:szCs w:val="26"/>
        </w:rPr>
        <w:t xml:space="preserve"> </w:t>
      </w:r>
      <w:r w:rsidR="00567180">
        <w:rPr>
          <w:rFonts w:cs="Arial"/>
          <w:sz w:val="26"/>
          <w:szCs w:val="26"/>
        </w:rPr>
        <w:t>Tribunal Pleno</w:t>
      </w:r>
      <w:r w:rsidR="000E3D87">
        <w:rPr>
          <w:rFonts w:cs="Arial"/>
          <w:sz w:val="26"/>
          <w:szCs w:val="26"/>
        </w:rPr>
        <w:t xml:space="preserve"> en relación con </w:t>
      </w:r>
      <w:r w:rsidR="00DE25D8">
        <w:rPr>
          <w:rFonts w:cs="Arial"/>
          <w:sz w:val="26"/>
          <w:szCs w:val="26"/>
        </w:rPr>
        <w:t>este</w:t>
      </w:r>
      <w:r w:rsidR="00991823">
        <w:rPr>
          <w:rFonts w:cs="Arial"/>
          <w:sz w:val="26"/>
          <w:szCs w:val="26"/>
        </w:rPr>
        <w:t xml:space="preserve"> tema</w:t>
      </w:r>
      <w:r w:rsidR="005147E3">
        <w:rPr>
          <w:rFonts w:cs="Arial"/>
          <w:sz w:val="26"/>
          <w:szCs w:val="26"/>
        </w:rPr>
        <w:t>,</w:t>
      </w:r>
      <w:r w:rsidR="001D7F75">
        <w:rPr>
          <w:rFonts w:cs="Arial"/>
          <w:sz w:val="26"/>
          <w:szCs w:val="26"/>
        </w:rPr>
        <w:t xml:space="preserve"> resolver </w:t>
      </w:r>
      <w:r w:rsidR="00DE25D8">
        <w:rPr>
          <w:rFonts w:cs="Arial"/>
          <w:sz w:val="26"/>
          <w:szCs w:val="26"/>
        </w:rPr>
        <w:t>la</w:t>
      </w:r>
      <w:r w:rsidR="001D7F75">
        <w:rPr>
          <w:rFonts w:cs="Arial"/>
          <w:sz w:val="26"/>
          <w:szCs w:val="26"/>
        </w:rPr>
        <w:t xml:space="preserve"> cuestión no representa mayor problema.</w:t>
      </w:r>
      <w:r w:rsidR="00042908" w:rsidRPr="00042908">
        <w:rPr>
          <w:rFonts w:cs="Arial"/>
          <w:sz w:val="26"/>
          <w:szCs w:val="26"/>
        </w:rPr>
        <w:t xml:space="preserve"> </w:t>
      </w:r>
      <w:r w:rsidR="00042908">
        <w:rPr>
          <w:rFonts w:cs="Arial"/>
          <w:sz w:val="26"/>
          <w:szCs w:val="26"/>
        </w:rPr>
        <w:t>Contra lo que sugiere el Poder Ejecutivo de</w:t>
      </w:r>
      <w:r w:rsidR="000015BF">
        <w:rPr>
          <w:rFonts w:cs="Arial"/>
          <w:sz w:val="26"/>
          <w:szCs w:val="26"/>
        </w:rPr>
        <w:t>l Estado de</w:t>
      </w:r>
      <w:r w:rsidR="00042908">
        <w:rPr>
          <w:rFonts w:cs="Arial"/>
          <w:sz w:val="26"/>
          <w:szCs w:val="26"/>
        </w:rPr>
        <w:t xml:space="preserve"> Chihuahua</w:t>
      </w:r>
      <w:r w:rsidR="001D7F75">
        <w:rPr>
          <w:rFonts w:cs="Arial"/>
          <w:sz w:val="26"/>
          <w:szCs w:val="26"/>
        </w:rPr>
        <w:t>,</w:t>
      </w:r>
      <w:r w:rsidR="00550775">
        <w:rPr>
          <w:rFonts w:cs="Arial"/>
          <w:sz w:val="26"/>
          <w:szCs w:val="26"/>
        </w:rPr>
        <w:t xml:space="preserve"> es criterio reiterado</w:t>
      </w:r>
      <w:r w:rsidR="005165A2">
        <w:rPr>
          <w:rFonts w:cs="Arial"/>
          <w:sz w:val="26"/>
          <w:szCs w:val="26"/>
        </w:rPr>
        <w:t xml:space="preserve"> de</w:t>
      </w:r>
      <w:r w:rsidR="00567180">
        <w:rPr>
          <w:rFonts w:cs="Arial"/>
          <w:sz w:val="26"/>
          <w:szCs w:val="26"/>
        </w:rPr>
        <w:t xml:space="preserve"> </w:t>
      </w:r>
      <w:r w:rsidR="00B65DD8">
        <w:rPr>
          <w:rFonts w:cs="Arial"/>
          <w:sz w:val="26"/>
          <w:szCs w:val="26"/>
        </w:rPr>
        <w:t>esta</w:t>
      </w:r>
      <w:r w:rsidR="005165A2">
        <w:rPr>
          <w:rFonts w:cs="Arial"/>
          <w:sz w:val="26"/>
          <w:szCs w:val="26"/>
        </w:rPr>
        <w:t xml:space="preserve"> </w:t>
      </w:r>
      <w:r w:rsidR="00567180">
        <w:rPr>
          <w:rFonts w:cs="Arial"/>
          <w:sz w:val="26"/>
          <w:szCs w:val="26"/>
        </w:rPr>
        <w:t>Suprema</w:t>
      </w:r>
      <w:r w:rsidR="005165A2">
        <w:rPr>
          <w:rFonts w:cs="Arial"/>
          <w:sz w:val="26"/>
          <w:szCs w:val="26"/>
        </w:rPr>
        <w:t xml:space="preserve"> </w:t>
      </w:r>
      <w:r w:rsidR="00567180">
        <w:rPr>
          <w:rFonts w:cs="Arial"/>
          <w:sz w:val="26"/>
          <w:szCs w:val="26"/>
        </w:rPr>
        <w:t>Corte</w:t>
      </w:r>
      <w:r w:rsidR="00550775">
        <w:rPr>
          <w:rFonts w:cs="Arial"/>
          <w:sz w:val="26"/>
          <w:szCs w:val="26"/>
        </w:rPr>
        <w:t xml:space="preserve"> que</w:t>
      </w:r>
      <w:r w:rsidR="001D7F75">
        <w:rPr>
          <w:rFonts w:cs="Arial"/>
          <w:sz w:val="26"/>
          <w:szCs w:val="26"/>
        </w:rPr>
        <w:t xml:space="preserve"> el hecho de que la</w:t>
      </w:r>
      <w:r w:rsidR="00242CF8">
        <w:rPr>
          <w:rFonts w:cs="Arial"/>
          <w:sz w:val="26"/>
          <w:szCs w:val="26"/>
        </w:rPr>
        <w:t>s</w:t>
      </w:r>
      <w:r w:rsidR="001D7F75">
        <w:rPr>
          <w:rFonts w:cs="Arial"/>
          <w:sz w:val="26"/>
          <w:szCs w:val="26"/>
        </w:rPr>
        <w:t xml:space="preserve"> medida</w:t>
      </w:r>
      <w:r w:rsidR="00242CF8">
        <w:rPr>
          <w:rFonts w:cs="Arial"/>
          <w:sz w:val="26"/>
          <w:szCs w:val="26"/>
        </w:rPr>
        <w:t>s</w:t>
      </w:r>
      <w:r w:rsidR="00550775">
        <w:rPr>
          <w:rFonts w:cs="Arial"/>
          <w:sz w:val="26"/>
          <w:szCs w:val="26"/>
        </w:rPr>
        <w:t xml:space="preserve"> </w:t>
      </w:r>
      <w:r w:rsidR="0029794B">
        <w:rPr>
          <w:rFonts w:cs="Arial"/>
          <w:sz w:val="26"/>
          <w:szCs w:val="26"/>
        </w:rPr>
        <w:t xml:space="preserve">legislativas </w:t>
      </w:r>
      <w:r w:rsidR="00550775">
        <w:rPr>
          <w:rFonts w:cs="Arial"/>
          <w:sz w:val="26"/>
          <w:szCs w:val="26"/>
        </w:rPr>
        <w:t>que incidan directamente en</w:t>
      </w:r>
      <w:r w:rsidR="00550775" w:rsidRPr="00550775">
        <w:rPr>
          <w:rFonts w:cs="Arial"/>
          <w:sz w:val="26"/>
          <w:szCs w:val="26"/>
        </w:rPr>
        <w:t xml:space="preserve"> </w:t>
      </w:r>
      <w:r w:rsidR="00550775">
        <w:rPr>
          <w:rFonts w:cs="Arial"/>
          <w:sz w:val="26"/>
          <w:szCs w:val="26"/>
        </w:rPr>
        <w:t xml:space="preserve">los derechos de los pueblos y comunidades indígenas </w:t>
      </w:r>
      <w:r w:rsidR="00BB2B10">
        <w:rPr>
          <w:rFonts w:cs="Arial"/>
          <w:sz w:val="26"/>
          <w:szCs w:val="26"/>
        </w:rPr>
        <w:t>o</w:t>
      </w:r>
      <w:r w:rsidR="00550775">
        <w:rPr>
          <w:rFonts w:cs="Arial"/>
          <w:sz w:val="26"/>
          <w:szCs w:val="26"/>
        </w:rPr>
        <w:t xml:space="preserve"> afromexicanas de una entidad federativa</w:t>
      </w:r>
      <w:r w:rsidR="001D7F75">
        <w:rPr>
          <w:rFonts w:cs="Arial"/>
          <w:sz w:val="26"/>
          <w:szCs w:val="26"/>
        </w:rPr>
        <w:t xml:space="preserve"> pu</w:t>
      </w:r>
      <w:r w:rsidR="00550775">
        <w:rPr>
          <w:rFonts w:cs="Arial"/>
          <w:sz w:val="26"/>
          <w:szCs w:val="26"/>
        </w:rPr>
        <w:t>ed</w:t>
      </w:r>
      <w:r w:rsidR="001D7F75">
        <w:rPr>
          <w:rFonts w:cs="Arial"/>
          <w:sz w:val="26"/>
          <w:szCs w:val="26"/>
        </w:rPr>
        <w:t>a</w:t>
      </w:r>
      <w:r w:rsidR="00242CF8">
        <w:rPr>
          <w:rFonts w:cs="Arial"/>
          <w:sz w:val="26"/>
          <w:szCs w:val="26"/>
        </w:rPr>
        <w:t>n</w:t>
      </w:r>
      <w:r w:rsidR="001D7F75">
        <w:rPr>
          <w:rFonts w:cs="Arial"/>
          <w:sz w:val="26"/>
          <w:szCs w:val="26"/>
        </w:rPr>
        <w:t xml:space="preserve"> </w:t>
      </w:r>
      <w:r w:rsidR="00F23F0B">
        <w:rPr>
          <w:rFonts w:cs="Arial"/>
          <w:sz w:val="26"/>
          <w:szCs w:val="26"/>
        </w:rPr>
        <w:t>resultar</w:t>
      </w:r>
      <w:r w:rsidR="001D7F75">
        <w:rPr>
          <w:rFonts w:cs="Arial"/>
          <w:sz w:val="26"/>
          <w:szCs w:val="26"/>
        </w:rPr>
        <w:t xml:space="preserve"> benéfica</w:t>
      </w:r>
      <w:r w:rsidR="00242CF8">
        <w:rPr>
          <w:rFonts w:cs="Arial"/>
          <w:sz w:val="26"/>
          <w:szCs w:val="26"/>
        </w:rPr>
        <w:t>s</w:t>
      </w:r>
      <w:r w:rsidR="00042908">
        <w:rPr>
          <w:rFonts w:cs="Arial"/>
          <w:sz w:val="26"/>
          <w:szCs w:val="26"/>
        </w:rPr>
        <w:t xml:space="preserve"> para esos grupos</w:t>
      </w:r>
      <w:r w:rsidR="001D7F75">
        <w:rPr>
          <w:rFonts w:cs="Arial"/>
          <w:sz w:val="26"/>
          <w:szCs w:val="26"/>
        </w:rPr>
        <w:t xml:space="preserve"> no es justificación para omitir consulta</w:t>
      </w:r>
      <w:r w:rsidR="00550775">
        <w:rPr>
          <w:rFonts w:cs="Arial"/>
          <w:sz w:val="26"/>
          <w:szCs w:val="26"/>
        </w:rPr>
        <w:t>rles</w:t>
      </w:r>
      <w:r w:rsidR="001D7F75">
        <w:rPr>
          <w:rFonts w:cs="Arial"/>
          <w:sz w:val="26"/>
          <w:szCs w:val="26"/>
        </w:rPr>
        <w:t xml:space="preserve"> previamente a la </w:t>
      </w:r>
      <w:r w:rsidR="001D7F75">
        <w:rPr>
          <w:rFonts w:cs="Arial"/>
          <w:sz w:val="26"/>
          <w:szCs w:val="26"/>
        </w:rPr>
        <w:lastRenderedPageBreak/>
        <w:t>toma de la decisión.</w:t>
      </w:r>
      <w:r w:rsidR="00EA0B53" w:rsidRPr="00EA0B53">
        <w:rPr>
          <w:rFonts w:cs="Arial"/>
          <w:sz w:val="26"/>
          <w:szCs w:val="26"/>
        </w:rPr>
        <w:t xml:space="preserve"> </w:t>
      </w:r>
      <w:r w:rsidR="00042908">
        <w:rPr>
          <w:rFonts w:cs="Arial"/>
          <w:sz w:val="26"/>
          <w:szCs w:val="26"/>
        </w:rPr>
        <w:t>Como se explica enseguida</w:t>
      </w:r>
      <w:r w:rsidR="00550775">
        <w:rPr>
          <w:rFonts w:cs="Arial"/>
          <w:sz w:val="26"/>
          <w:szCs w:val="26"/>
        </w:rPr>
        <w:t xml:space="preserve">, dado que el contenido de </w:t>
      </w:r>
      <w:r w:rsidR="0029794B">
        <w:rPr>
          <w:rFonts w:cs="Arial"/>
          <w:sz w:val="26"/>
          <w:szCs w:val="26"/>
        </w:rPr>
        <w:t xml:space="preserve">todos </w:t>
      </w:r>
      <w:r w:rsidR="00550775">
        <w:rPr>
          <w:rFonts w:cs="Arial"/>
          <w:sz w:val="26"/>
          <w:szCs w:val="26"/>
        </w:rPr>
        <w:t xml:space="preserve">los decretos </w:t>
      </w:r>
      <w:r w:rsidR="005147E3">
        <w:rPr>
          <w:rFonts w:cs="Arial"/>
          <w:sz w:val="26"/>
          <w:szCs w:val="26"/>
        </w:rPr>
        <w:t xml:space="preserve">aquí </w:t>
      </w:r>
      <w:r w:rsidR="00550775">
        <w:rPr>
          <w:rFonts w:cs="Arial"/>
          <w:sz w:val="26"/>
          <w:szCs w:val="26"/>
        </w:rPr>
        <w:t xml:space="preserve">impugnados incide directamente en los intereses de los pueblos y comunidades indígenas </w:t>
      </w:r>
      <w:r w:rsidR="00042908">
        <w:rPr>
          <w:rFonts w:cs="Arial"/>
          <w:sz w:val="26"/>
          <w:szCs w:val="26"/>
        </w:rPr>
        <w:t>que habitan en el</w:t>
      </w:r>
      <w:r w:rsidR="00F23F0B">
        <w:rPr>
          <w:rFonts w:cs="Arial"/>
          <w:sz w:val="26"/>
          <w:szCs w:val="26"/>
        </w:rPr>
        <w:t xml:space="preserve"> Estado de Chihuahua</w:t>
      </w:r>
      <w:r w:rsidR="00550775">
        <w:rPr>
          <w:rFonts w:cs="Arial"/>
          <w:sz w:val="26"/>
          <w:szCs w:val="26"/>
        </w:rPr>
        <w:t>,</w:t>
      </w:r>
      <w:r>
        <w:rPr>
          <w:rFonts w:cs="Arial"/>
          <w:sz w:val="26"/>
          <w:szCs w:val="26"/>
        </w:rPr>
        <w:t xml:space="preserve"> para tomar </w:t>
      </w:r>
      <w:r w:rsidR="0056318B">
        <w:rPr>
          <w:rFonts w:cs="Arial"/>
          <w:sz w:val="26"/>
          <w:szCs w:val="26"/>
        </w:rPr>
        <w:t>tale</w:t>
      </w:r>
      <w:r w:rsidR="005147E3">
        <w:rPr>
          <w:rFonts w:cs="Arial"/>
          <w:sz w:val="26"/>
          <w:szCs w:val="26"/>
        </w:rPr>
        <w:t>s determinacio</w:t>
      </w:r>
      <w:r>
        <w:rPr>
          <w:rFonts w:cs="Arial"/>
          <w:sz w:val="26"/>
          <w:szCs w:val="26"/>
        </w:rPr>
        <w:t>n</w:t>
      </w:r>
      <w:r w:rsidR="005147E3">
        <w:rPr>
          <w:rFonts w:cs="Arial"/>
          <w:sz w:val="26"/>
          <w:szCs w:val="26"/>
        </w:rPr>
        <w:t>es</w:t>
      </w:r>
      <w:r w:rsidR="00550775">
        <w:rPr>
          <w:rFonts w:cs="Arial"/>
          <w:sz w:val="26"/>
          <w:szCs w:val="26"/>
        </w:rPr>
        <w:t xml:space="preserve"> las autoridades </w:t>
      </w:r>
      <w:r w:rsidR="00F23F0B">
        <w:rPr>
          <w:rFonts w:cs="Arial"/>
          <w:sz w:val="26"/>
          <w:szCs w:val="26"/>
        </w:rPr>
        <w:t>estatales se encontraban</w:t>
      </w:r>
      <w:r w:rsidR="00550775">
        <w:rPr>
          <w:rFonts w:cs="Arial"/>
          <w:sz w:val="26"/>
          <w:szCs w:val="26"/>
        </w:rPr>
        <w:t xml:space="preserve"> obligadas a llevar a cabo una consulta</w:t>
      </w:r>
      <w:r w:rsidR="00463BBE">
        <w:rPr>
          <w:rFonts w:cs="Arial"/>
          <w:sz w:val="26"/>
          <w:szCs w:val="26"/>
        </w:rPr>
        <w:t xml:space="preserve"> </w:t>
      </w:r>
      <w:r w:rsidR="008C0B20">
        <w:rPr>
          <w:rFonts w:cs="Arial"/>
          <w:sz w:val="26"/>
          <w:szCs w:val="26"/>
        </w:rPr>
        <w:t xml:space="preserve">de manera </w:t>
      </w:r>
      <w:r w:rsidR="00463BBE">
        <w:rPr>
          <w:rFonts w:cs="Arial"/>
          <w:sz w:val="26"/>
          <w:szCs w:val="26"/>
        </w:rPr>
        <w:t>previa, libre</w:t>
      </w:r>
      <w:r>
        <w:rPr>
          <w:rFonts w:cs="Arial"/>
          <w:sz w:val="26"/>
          <w:szCs w:val="26"/>
        </w:rPr>
        <w:t>,</w:t>
      </w:r>
      <w:r w:rsidR="00463BBE">
        <w:rPr>
          <w:rFonts w:cs="Arial"/>
          <w:sz w:val="26"/>
          <w:szCs w:val="26"/>
        </w:rPr>
        <w:t xml:space="preserve"> informada, culturalmente adecuada y de buena fe</w:t>
      </w:r>
      <w:r w:rsidR="00550775">
        <w:rPr>
          <w:rFonts w:cs="Arial"/>
          <w:sz w:val="26"/>
          <w:szCs w:val="26"/>
        </w:rPr>
        <w:t xml:space="preserve"> en la que participaran dichos grupos.</w:t>
      </w:r>
      <w:r w:rsidR="001D7F75">
        <w:rPr>
          <w:rFonts w:cs="Arial"/>
          <w:sz w:val="26"/>
          <w:szCs w:val="26"/>
        </w:rPr>
        <w:t xml:space="preserve">  </w:t>
      </w:r>
      <w:r w:rsidR="001D7F75" w:rsidRPr="00AB4A91">
        <w:rPr>
          <w:sz w:val="26"/>
          <w:szCs w:val="26"/>
        </w:rPr>
        <w:t xml:space="preserve">     </w:t>
      </w:r>
    </w:p>
    <w:p w:rsidR="007770C0" w:rsidRPr="007770C0" w:rsidRDefault="000015BF" w:rsidP="001D7F75">
      <w:pPr>
        <w:pStyle w:val="corte4fondo"/>
        <w:numPr>
          <w:ilvl w:val="0"/>
          <w:numId w:val="1"/>
        </w:numPr>
        <w:tabs>
          <w:tab w:val="clear" w:pos="-3"/>
          <w:tab w:val="left" w:pos="0"/>
        </w:tabs>
        <w:spacing w:after="360" w:line="360" w:lineRule="auto"/>
        <w:ind w:left="0" w:hanging="567"/>
        <w:rPr>
          <w:bCs/>
          <w:sz w:val="26"/>
          <w:szCs w:val="26"/>
          <w:lang w:val="es-MX"/>
        </w:rPr>
      </w:pPr>
      <w:r>
        <w:rPr>
          <w:rFonts w:cs="Arial"/>
          <w:sz w:val="26"/>
          <w:szCs w:val="26"/>
        </w:rPr>
        <w:t>En primer lugar</w:t>
      </w:r>
      <w:r w:rsidR="00FB1946">
        <w:rPr>
          <w:rFonts w:cs="Arial"/>
          <w:sz w:val="26"/>
          <w:szCs w:val="26"/>
        </w:rPr>
        <w:t>, e</w:t>
      </w:r>
      <w:r w:rsidR="003722C5">
        <w:rPr>
          <w:rFonts w:cs="Arial"/>
          <w:sz w:val="26"/>
          <w:szCs w:val="26"/>
        </w:rPr>
        <w:t>ste</w:t>
      </w:r>
      <w:r w:rsidR="00E45785">
        <w:rPr>
          <w:rFonts w:cs="Arial"/>
          <w:sz w:val="26"/>
          <w:szCs w:val="26"/>
        </w:rPr>
        <w:t xml:space="preserve"> Tribunal Pleno </w:t>
      </w:r>
      <w:r w:rsidR="00DA39AB">
        <w:rPr>
          <w:rFonts w:cs="Arial"/>
          <w:sz w:val="26"/>
          <w:szCs w:val="26"/>
        </w:rPr>
        <w:t>ha</w:t>
      </w:r>
      <w:r w:rsidR="00E45785">
        <w:rPr>
          <w:rFonts w:cs="Arial"/>
          <w:sz w:val="26"/>
          <w:szCs w:val="26"/>
        </w:rPr>
        <w:t xml:space="preserve"> sostenido en </w:t>
      </w:r>
      <w:r w:rsidR="007948F9">
        <w:rPr>
          <w:rFonts w:cs="Arial"/>
          <w:sz w:val="26"/>
          <w:szCs w:val="26"/>
        </w:rPr>
        <w:t>reiteradas</w:t>
      </w:r>
      <w:r w:rsidR="00E45785">
        <w:rPr>
          <w:rFonts w:cs="Arial"/>
          <w:sz w:val="26"/>
          <w:szCs w:val="26"/>
        </w:rPr>
        <w:t xml:space="preserve"> ocasiones que, independientemente del beneficio </w:t>
      </w:r>
      <w:r w:rsidR="003722C5">
        <w:rPr>
          <w:rFonts w:cs="Arial"/>
          <w:sz w:val="26"/>
          <w:szCs w:val="26"/>
        </w:rPr>
        <w:t>material que una medida legislativa</w:t>
      </w:r>
      <w:r w:rsidR="00E236DE">
        <w:rPr>
          <w:rFonts w:cs="Arial"/>
          <w:sz w:val="26"/>
          <w:szCs w:val="26"/>
        </w:rPr>
        <w:t xml:space="preserve"> o reglamentaria</w:t>
      </w:r>
      <w:r w:rsidR="003722C5">
        <w:rPr>
          <w:rFonts w:cs="Arial"/>
          <w:sz w:val="26"/>
          <w:szCs w:val="26"/>
        </w:rPr>
        <w:t xml:space="preserve"> pueda</w:t>
      </w:r>
      <w:r w:rsidR="00E45785">
        <w:rPr>
          <w:rFonts w:cs="Arial"/>
          <w:sz w:val="26"/>
          <w:szCs w:val="26"/>
        </w:rPr>
        <w:t xml:space="preserve"> generar </w:t>
      </w:r>
      <w:r w:rsidR="003722C5">
        <w:rPr>
          <w:rFonts w:cs="Arial"/>
          <w:sz w:val="26"/>
          <w:szCs w:val="26"/>
        </w:rPr>
        <w:t>en</w:t>
      </w:r>
      <w:r w:rsidR="00E45785">
        <w:rPr>
          <w:rFonts w:cs="Arial"/>
          <w:sz w:val="26"/>
          <w:szCs w:val="26"/>
        </w:rPr>
        <w:t xml:space="preserve"> las condiciones de los pueblos</w:t>
      </w:r>
      <w:r w:rsidR="003722C5">
        <w:rPr>
          <w:rFonts w:cs="Arial"/>
          <w:sz w:val="26"/>
          <w:szCs w:val="26"/>
        </w:rPr>
        <w:t xml:space="preserve"> y comunidades</w:t>
      </w:r>
      <w:r w:rsidR="00E45785">
        <w:rPr>
          <w:rFonts w:cs="Arial"/>
          <w:sz w:val="26"/>
          <w:szCs w:val="26"/>
        </w:rPr>
        <w:t xml:space="preserve"> indígenas</w:t>
      </w:r>
      <w:r w:rsidR="00D74BBF">
        <w:rPr>
          <w:rFonts w:cs="Arial"/>
          <w:sz w:val="26"/>
          <w:szCs w:val="26"/>
        </w:rPr>
        <w:t xml:space="preserve"> o</w:t>
      </w:r>
      <w:r w:rsidR="00613F05">
        <w:rPr>
          <w:rFonts w:cs="Arial"/>
          <w:sz w:val="26"/>
          <w:szCs w:val="26"/>
        </w:rPr>
        <w:t xml:space="preserve"> afromexicanas</w:t>
      </w:r>
      <w:r w:rsidR="00E45785">
        <w:rPr>
          <w:rFonts w:cs="Arial"/>
          <w:sz w:val="26"/>
          <w:szCs w:val="26"/>
        </w:rPr>
        <w:t xml:space="preserve">, existe una obligación </w:t>
      </w:r>
      <w:r w:rsidR="00E87E94">
        <w:rPr>
          <w:rFonts w:cs="Arial"/>
          <w:sz w:val="26"/>
          <w:szCs w:val="26"/>
        </w:rPr>
        <w:t>constitucional</w:t>
      </w:r>
      <w:r w:rsidR="002C368B">
        <w:rPr>
          <w:rFonts w:cs="Arial"/>
          <w:sz w:val="26"/>
          <w:szCs w:val="26"/>
        </w:rPr>
        <w:t xml:space="preserve"> ineludible</w:t>
      </w:r>
      <w:r w:rsidR="00E87E94">
        <w:rPr>
          <w:rFonts w:cs="Arial"/>
          <w:sz w:val="26"/>
          <w:szCs w:val="26"/>
        </w:rPr>
        <w:t xml:space="preserve"> </w:t>
      </w:r>
      <w:r w:rsidR="00E45785">
        <w:rPr>
          <w:rFonts w:cs="Arial"/>
          <w:sz w:val="26"/>
          <w:szCs w:val="26"/>
        </w:rPr>
        <w:t>de consultar</w:t>
      </w:r>
      <w:r w:rsidR="00C06591">
        <w:rPr>
          <w:rFonts w:cs="Arial"/>
          <w:sz w:val="26"/>
          <w:szCs w:val="26"/>
        </w:rPr>
        <w:t xml:space="preserve"> </w:t>
      </w:r>
      <w:r w:rsidR="003A0922">
        <w:rPr>
          <w:rFonts w:cs="Arial"/>
          <w:sz w:val="26"/>
          <w:szCs w:val="26"/>
        </w:rPr>
        <w:t xml:space="preserve">previamente </w:t>
      </w:r>
      <w:r w:rsidR="00C06591">
        <w:rPr>
          <w:rFonts w:cs="Arial"/>
          <w:sz w:val="26"/>
          <w:szCs w:val="26"/>
        </w:rPr>
        <w:t>a estos grupos</w:t>
      </w:r>
      <w:r w:rsidR="00E45785">
        <w:rPr>
          <w:rFonts w:cs="Arial"/>
          <w:sz w:val="26"/>
          <w:szCs w:val="26"/>
        </w:rPr>
        <w:t xml:space="preserve"> cuando </w:t>
      </w:r>
      <w:r w:rsidR="000320F5">
        <w:rPr>
          <w:rFonts w:cs="Arial"/>
          <w:sz w:val="26"/>
          <w:szCs w:val="26"/>
        </w:rPr>
        <w:t>tales</w:t>
      </w:r>
      <w:r w:rsidR="00E45785">
        <w:rPr>
          <w:rFonts w:cs="Arial"/>
          <w:sz w:val="26"/>
          <w:szCs w:val="26"/>
        </w:rPr>
        <w:t xml:space="preserve"> medidas </w:t>
      </w:r>
      <w:r w:rsidR="0048151E">
        <w:rPr>
          <w:rFonts w:cs="Arial"/>
          <w:sz w:val="26"/>
          <w:szCs w:val="26"/>
        </w:rPr>
        <w:t>puedan afectarles de manera directa</w:t>
      </w:r>
      <w:r w:rsidR="00E45785">
        <w:rPr>
          <w:rFonts w:cs="Arial"/>
          <w:sz w:val="26"/>
          <w:szCs w:val="26"/>
        </w:rPr>
        <w:t>.</w:t>
      </w:r>
      <w:r w:rsidR="000320F5">
        <w:rPr>
          <w:rFonts w:cs="Arial"/>
          <w:sz w:val="26"/>
          <w:szCs w:val="26"/>
        </w:rPr>
        <w:t xml:space="preserve"> </w:t>
      </w:r>
      <w:r w:rsidR="00394BCA">
        <w:rPr>
          <w:rFonts w:cs="Arial"/>
          <w:sz w:val="26"/>
          <w:szCs w:val="26"/>
        </w:rPr>
        <w:t>P</w:t>
      </w:r>
      <w:r w:rsidR="00C5533E">
        <w:rPr>
          <w:rFonts w:cs="Arial"/>
          <w:sz w:val="26"/>
          <w:szCs w:val="26"/>
        </w:rPr>
        <w:t>or lo menos d</w:t>
      </w:r>
      <w:r w:rsidR="000320F5">
        <w:rPr>
          <w:rFonts w:cs="Arial"/>
          <w:sz w:val="26"/>
          <w:szCs w:val="26"/>
        </w:rPr>
        <w:t xml:space="preserve">esde que </w:t>
      </w:r>
      <w:r w:rsidR="00C6586C">
        <w:rPr>
          <w:rFonts w:cs="Arial"/>
          <w:sz w:val="26"/>
          <w:szCs w:val="26"/>
        </w:rPr>
        <w:t>se</w:t>
      </w:r>
      <w:r w:rsidR="000320F5">
        <w:rPr>
          <w:rFonts w:cs="Arial"/>
          <w:sz w:val="26"/>
          <w:szCs w:val="26"/>
        </w:rPr>
        <w:t xml:space="preserve"> resolvió </w:t>
      </w:r>
      <w:r w:rsidR="000320F5" w:rsidRPr="00EB4A27">
        <w:rPr>
          <w:rFonts w:cs="Arial"/>
          <w:b/>
          <w:sz w:val="26"/>
          <w:szCs w:val="26"/>
        </w:rPr>
        <w:t xml:space="preserve">la controversia constitucional </w:t>
      </w:r>
      <w:r w:rsidR="00EB4A27" w:rsidRPr="00EB4A27">
        <w:rPr>
          <w:rFonts w:cs="Arial"/>
          <w:b/>
          <w:sz w:val="26"/>
          <w:szCs w:val="26"/>
        </w:rPr>
        <w:t>32</w:t>
      </w:r>
      <w:r w:rsidR="000320F5" w:rsidRPr="00EB4A27">
        <w:rPr>
          <w:rFonts w:cs="Arial"/>
          <w:b/>
          <w:sz w:val="26"/>
          <w:szCs w:val="26"/>
        </w:rPr>
        <w:t>/</w:t>
      </w:r>
      <w:r w:rsidR="00EB4A27" w:rsidRPr="00EB4A27">
        <w:rPr>
          <w:rFonts w:cs="Arial"/>
          <w:b/>
          <w:sz w:val="26"/>
          <w:szCs w:val="26"/>
        </w:rPr>
        <w:t>2012</w:t>
      </w:r>
      <w:r w:rsidR="009974DB" w:rsidRPr="00894B94">
        <w:rPr>
          <w:rStyle w:val="Refdenotaalpie"/>
          <w:rFonts w:cs="Arial"/>
          <w:sz w:val="26"/>
          <w:szCs w:val="26"/>
        </w:rPr>
        <w:footnoteReference w:id="48"/>
      </w:r>
      <w:r w:rsidR="007948F9">
        <w:rPr>
          <w:rFonts w:cs="Arial"/>
          <w:sz w:val="26"/>
          <w:szCs w:val="26"/>
        </w:rPr>
        <w:t xml:space="preserve"> </w:t>
      </w:r>
      <w:r w:rsidR="00EB4A27">
        <w:rPr>
          <w:rFonts w:cs="Arial"/>
          <w:sz w:val="26"/>
          <w:szCs w:val="26"/>
        </w:rPr>
        <w:t xml:space="preserve">existe un criterio </w:t>
      </w:r>
      <w:r w:rsidR="00F4346F">
        <w:rPr>
          <w:rFonts w:cs="Arial"/>
          <w:sz w:val="26"/>
          <w:szCs w:val="26"/>
        </w:rPr>
        <w:t>mayoritario</w:t>
      </w:r>
      <w:r w:rsidR="00AF1736">
        <w:rPr>
          <w:rFonts w:cs="Arial"/>
          <w:sz w:val="26"/>
          <w:szCs w:val="26"/>
        </w:rPr>
        <w:t xml:space="preserve"> y vinculante</w:t>
      </w:r>
      <w:r w:rsidR="00EB4A27">
        <w:rPr>
          <w:rFonts w:cs="Arial"/>
          <w:sz w:val="26"/>
          <w:szCs w:val="26"/>
        </w:rPr>
        <w:t xml:space="preserve"> </w:t>
      </w:r>
      <w:r w:rsidR="00713BD8">
        <w:rPr>
          <w:rFonts w:cs="Arial"/>
          <w:sz w:val="26"/>
          <w:szCs w:val="26"/>
        </w:rPr>
        <w:t>de</w:t>
      </w:r>
      <w:r w:rsidR="001B42A6">
        <w:rPr>
          <w:rFonts w:cs="Arial"/>
          <w:sz w:val="26"/>
          <w:szCs w:val="26"/>
        </w:rPr>
        <w:t>l Pleno de</w:t>
      </w:r>
      <w:r w:rsidR="00713BD8">
        <w:rPr>
          <w:rFonts w:cs="Arial"/>
          <w:sz w:val="26"/>
          <w:szCs w:val="26"/>
        </w:rPr>
        <w:t xml:space="preserve"> la Suprema Corte </w:t>
      </w:r>
      <w:r w:rsidR="00EB4A27">
        <w:rPr>
          <w:rFonts w:cs="Arial"/>
          <w:sz w:val="26"/>
          <w:szCs w:val="26"/>
        </w:rPr>
        <w:t xml:space="preserve">en el sentido de que </w:t>
      </w:r>
      <w:r w:rsidR="00701CC9">
        <w:rPr>
          <w:rFonts w:cs="Arial"/>
          <w:sz w:val="26"/>
          <w:szCs w:val="26"/>
        </w:rPr>
        <w:t>los</w:t>
      </w:r>
      <w:r w:rsidR="009974DB">
        <w:rPr>
          <w:rFonts w:cs="Arial"/>
          <w:sz w:val="26"/>
          <w:szCs w:val="26"/>
        </w:rPr>
        <w:t xml:space="preserve"> art</w:t>
      </w:r>
      <w:r w:rsidR="00C6586C">
        <w:rPr>
          <w:rFonts w:cs="Arial"/>
          <w:sz w:val="26"/>
          <w:szCs w:val="26"/>
        </w:rPr>
        <w:t>ículo</w:t>
      </w:r>
      <w:r w:rsidR="00701CC9">
        <w:rPr>
          <w:rFonts w:cs="Arial"/>
          <w:sz w:val="26"/>
          <w:szCs w:val="26"/>
        </w:rPr>
        <w:t>s</w:t>
      </w:r>
      <w:r w:rsidR="009974DB">
        <w:rPr>
          <w:rFonts w:cs="Arial"/>
          <w:sz w:val="26"/>
          <w:szCs w:val="26"/>
        </w:rPr>
        <w:t xml:space="preserve"> 2° de la Constitución Federal</w:t>
      </w:r>
      <w:r w:rsidR="0031119B" w:rsidRPr="00894B94">
        <w:rPr>
          <w:rStyle w:val="Refdenotaalpie"/>
          <w:rFonts w:cs="Arial"/>
          <w:sz w:val="26"/>
          <w:szCs w:val="26"/>
        </w:rPr>
        <w:footnoteReference w:id="49"/>
      </w:r>
      <w:r w:rsidR="00701CC9">
        <w:rPr>
          <w:rFonts w:cs="Arial"/>
          <w:sz w:val="26"/>
          <w:szCs w:val="26"/>
        </w:rPr>
        <w:t xml:space="preserve"> y</w:t>
      </w:r>
      <w:r w:rsidR="009974DB">
        <w:rPr>
          <w:rFonts w:cs="Arial"/>
          <w:sz w:val="26"/>
          <w:szCs w:val="26"/>
        </w:rPr>
        <w:t xml:space="preserve"> 6</w:t>
      </w:r>
      <w:r w:rsidR="005D5C66">
        <w:rPr>
          <w:rFonts w:cs="Arial"/>
          <w:sz w:val="26"/>
          <w:szCs w:val="26"/>
        </w:rPr>
        <w:t xml:space="preserve"> y 7</w:t>
      </w:r>
      <w:r w:rsidR="009974DB">
        <w:rPr>
          <w:rFonts w:cs="Arial"/>
          <w:sz w:val="26"/>
          <w:szCs w:val="26"/>
        </w:rPr>
        <w:t xml:space="preserve"> del Convenio 169 de la OIT</w:t>
      </w:r>
      <w:r w:rsidR="0031119B" w:rsidRPr="00894B94">
        <w:rPr>
          <w:rStyle w:val="Refdenotaalpie"/>
          <w:rFonts w:cs="Arial"/>
          <w:sz w:val="26"/>
          <w:szCs w:val="26"/>
        </w:rPr>
        <w:footnoteReference w:id="50"/>
      </w:r>
      <w:r w:rsidR="009974DB">
        <w:rPr>
          <w:rFonts w:cs="Arial"/>
          <w:sz w:val="26"/>
          <w:szCs w:val="26"/>
        </w:rPr>
        <w:t xml:space="preserve"> </w:t>
      </w:r>
      <w:r w:rsidR="00701CC9">
        <w:rPr>
          <w:rFonts w:cs="Arial"/>
          <w:sz w:val="26"/>
          <w:szCs w:val="26"/>
        </w:rPr>
        <w:t>obligan</w:t>
      </w:r>
      <w:r w:rsidR="009974DB">
        <w:rPr>
          <w:rFonts w:cs="Arial"/>
          <w:sz w:val="26"/>
          <w:szCs w:val="26"/>
        </w:rPr>
        <w:t xml:space="preserve"> </w:t>
      </w:r>
      <w:r w:rsidR="00701CC9">
        <w:rPr>
          <w:rFonts w:cs="Arial"/>
          <w:sz w:val="26"/>
          <w:szCs w:val="26"/>
        </w:rPr>
        <w:t>a las autoridades mexicanas a consultar</w:t>
      </w:r>
      <w:r w:rsidR="00084E71">
        <w:rPr>
          <w:rFonts w:cs="Arial"/>
          <w:sz w:val="26"/>
          <w:szCs w:val="26"/>
        </w:rPr>
        <w:t xml:space="preserve"> </w:t>
      </w:r>
      <w:r w:rsidR="00701CC9">
        <w:rPr>
          <w:rFonts w:cs="Arial"/>
          <w:sz w:val="26"/>
          <w:szCs w:val="26"/>
        </w:rPr>
        <w:t>a</w:t>
      </w:r>
      <w:r w:rsidR="00F4346F">
        <w:rPr>
          <w:rFonts w:cs="Arial"/>
          <w:sz w:val="26"/>
          <w:szCs w:val="26"/>
        </w:rPr>
        <w:t xml:space="preserve"> los pueblos y comunidades </w:t>
      </w:r>
      <w:r w:rsidR="00AF1736">
        <w:rPr>
          <w:rFonts w:cs="Arial"/>
          <w:sz w:val="26"/>
          <w:szCs w:val="26"/>
        </w:rPr>
        <w:t>indígenas y tribales</w:t>
      </w:r>
      <w:r w:rsidR="00F4346F">
        <w:rPr>
          <w:rFonts w:cs="Arial"/>
          <w:sz w:val="26"/>
          <w:szCs w:val="26"/>
        </w:rPr>
        <w:t xml:space="preserve"> </w:t>
      </w:r>
      <w:r w:rsidR="005D5C66" w:rsidRPr="005D5C66">
        <w:rPr>
          <w:rFonts w:cs="Arial"/>
          <w:sz w:val="26"/>
          <w:szCs w:val="26"/>
          <w:lang w:val="es-MX"/>
        </w:rPr>
        <w:t>mediante procedimientos culturalmente adecuados, informados y de buena fe a través de sus representantes,</w:t>
      </w:r>
      <w:r w:rsidR="005D5C66" w:rsidRPr="00DE1EAC">
        <w:rPr>
          <w:rFonts w:cs="Arial"/>
          <w:sz w:val="26"/>
          <w:szCs w:val="26"/>
          <w:lang w:val="es-MX"/>
        </w:rPr>
        <w:t xml:space="preserve"> </w:t>
      </w:r>
      <w:r w:rsidR="00F97EE9">
        <w:rPr>
          <w:rFonts w:cs="Arial"/>
          <w:sz w:val="26"/>
          <w:szCs w:val="26"/>
          <w:lang w:val="es-MX"/>
        </w:rPr>
        <w:t>“</w:t>
      </w:r>
      <w:r w:rsidR="005D5C66" w:rsidRPr="00F97EE9">
        <w:rPr>
          <w:rFonts w:cs="Arial"/>
          <w:i/>
          <w:sz w:val="26"/>
          <w:szCs w:val="26"/>
          <w:u w:val="single"/>
          <w:lang w:val="es-MX"/>
        </w:rPr>
        <w:t>cada vez que se prevean medidas legislativas</w:t>
      </w:r>
      <w:r w:rsidR="00866093" w:rsidRPr="00F97EE9">
        <w:rPr>
          <w:rFonts w:cs="Arial"/>
          <w:i/>
          <w:sz w:val="26"/>
          <w:szCs w:val="26"/>
          <w:u w:val="single"/>
          <w:lang w:val="es-MX"/>
        </w:rPr>
        <w:t xml:space="preserve"> </w:t>
      </w:r>
      <w:r w:rsidR="005D5C66" w:rsidRPr="00F97EE9">
        <w:rPr>
          <w:rFonts w:cs="Arial"/>
          <w:i/>
          <w:sz w:val="26"/>
          <w:szCs w:val="26"/>
          <w:u w:val="single"/>
          <w:lang w:val="es-MX"/>
        </w:rPr>
        <w:t>susceptibles de afectarles directamente</w:t>
      </w:r>
      <w:r w:rsidR="00F97EE9">
        <w:rPr>
          <w:rFonts w:cs="Arial"/>
          <w:sz w:val="26"/>
          <w:szCs w:val="26"/>
          <w:u w:val="single"/>
          <w:lang w:val="es-MX"/>
        </w:rPr>
        <w:t>”</w:t>
      </w:r>
      <w:r w:rsidR="005D5C66" w:rsidRPr="00894B94">
        <w:rPr>
          <w:rStyle w:val="Refdenotaalpie"/>
          <w:rFonts w:cs="Arial"/>
          <w:sz w:val="26"/>
          <w:szCs w:val="26"/>
        </w:rPr>
        <w:footnoteReference w:id="51"/>
      </w:r>
      <w:r w:rsidR="00F4346F">
        <w:rPr>
          <w:rFonts w:cs="Arial"/>
          <w:sz w:val="26"/>
          <w:szCs w:val="26"/>
        </w:rPr>
        <w:t>.</w:t>
      </w:r>
    </w:p>
    <w:p w:rsidR="005D5C66" w:rsidRPr="005D5C66" w:rsidRDefault="0065423C" w:rsidP="001D7F75">
      <w:pPr>
        <w:pStyle w:val="corte4fondo"/>
        <w:numPr>
          <w:ilvl w:val="0"/>
          <w:numId w:val="1"/>
        </w:numPr>
        <w:tabs>
          <w:tab w:val="clear" w:pos="-3"/>
          <w:tab w:val="left" w:pos="0"/>
        </w:tabs>
        <w:spacing w:after="360" w:line="360" w:lineRule="auto"/>
        <w:ind w:left="0" w:hanging="567"/>
        <w:rPr>
          <w:bCs/>
          <w:sz w:val="26"/>
          <w:szCs w:val="26"/>
          <w:lang w:val="es-MX"/>
        </w:rPr>
      </w:pPr>
      <w:r>
        <w:rPr>
          <w:rFonts w:cs="Arial"/>
          <w:sz w:val="26"/>
          <w:szCs w:val="26"/>
        </w:rPr>
        <w:t xml:space="preserve">En dicho </w:t>
      </w:r>
      <w:r w:rsidR="003F53B4">
        <w:rPr>
          <w:rFonts w:cs="Arial"/>
          <w:sz w:val="26"/>
          <w:szCs w:val="26"/>
        </w:rPr>
        <w:t>precedente</w:t>
      </w:r>
      <w:r>
        <w:rPr>
          <w:rFonts w:cs="Arial"/>
          <w:sz w:val="26"/>
          <w:szCs w:val="26"/>
        </w:rPr>
        <w:t xml:space="preserve"> se</w:t>
      </w:r>
      <w:r w:rsidR="00363BBA">
        <w:rPr>
          <w:rFonts w:cs="Arial"/>
          <w:sz w:val="26"/>
          <w:szCs w:val="26"/>
        </w:rPr>
        <w:t xml:space="preserve"> </w:t>
      </w:r>
      <w:r w:rsidR="004777C7">
        <w:rPr>
          <w:rFonts w:cs="Arial"/>
          <w:sz w:val="26"/>
          <w:szCs w:val="26"/>
        </w:rPr>
        <w:t>e</w:t>
      </w:r>
      <w:r w:rsidR="001B42A6">
        <w:rPr>
          <w:rFonts w:cs="Arial"/>
          <w:sz w:val="26"/>
          <w:szCs w:val="26"/>
        </w:rPr>
        <w:t>xplic</w:t>
      </w:r>
      <w:r>
        <w:rPr>
          <w:rFonts w:cs="Arial"/>
          <w:sz w:val="26"/>
          <w:szCs w:val="26"/>
        </w:rPr>
        <w:t>ó</w:t>
      </w:r>
      <w:r w:rsidR="00363BBA">
        <w:rPr>
          <w:rFonts w:cs="Arial"/>
          <w:sz w:val="26"/>
          <w:szCs w:val="26"/>
        </w:rPr>
        <w:t xml:space="preserve"> que </w:t>
      </w:r>
      <w:r w:rsidR="0061352E">
        <w:rPr>
          <w:rFonts w:cs="Arial"/>
          <w:sz w:val="26"/>
          <w:szCs w:val="26"/>
        </w:rPr>
        <w:t xml:space="preserve">el derecho a </w:t>
      </w:r>
      <w:r w:rsidR="00363BBA">
        <w:rPr>
          <w:rFonts w:cs="Arial"/>
          <w:sz w:val="26"/>
          <w:szCs w:val="26"/>
        </w:rPr>
        <w:t xml:space="preserve">la consulta </w:t>
      </w:r>
      <w:r w:rsidR="0061352E">
        <w:rPr>
          <w:rFonts w:cs="Arial"/>
          <w:sz w:val="26"/>
          <w:szCs w:val="26"/>
        </w:rPr>
        <w:t>de los pueblos</w:t>
      </w:r>
      <w:r w:rsidR="00520E4D">
        <w:rPr>
          <w:rFonts w:cs="Arial"/>
          <w:sz w:val="26"/>
          <w:szCs w:val="26"/>
        </w:rPr>
        <w:t xml:space="preserve"> y comunidades</w:t>
      </w:r>
      <w:r w:rsidR="0061352E">
        <w:rPr>
          <w:rFonts w:cs="Arial"/>
          <w:sz w:val="26"/>
          <w:szCs w:val="26"/>
        </w:rPr>
        <w:t xml:space="preserve"> indígenas </w:t>
      </w:r>
      <w:r w:rsidR="00BC52D4">
        <w:rPr>
          <w:rFonts w:cs="Arial"/>
          <w:sz w:val="26"/>
          <w:szCs w:val="26"/>
        </w:rPr>
        <w:t>se desprend</w:t>
      </w:r>
      <w:r w:rsidR="00725DE2">
        <w:rPr>
          <w:rFonts w:cs="Arial"/>
          <w:sz w:val="26"/>
          <w:szCs w:val="26"/>
        </w:rPr>
        <w:t>e</w:t>
      </w:r>
      <w:r w:rsidR="00363BBA">
        <w:rPr>
          <w:rFonts w:cs="Arial"/>
          <w:sz w:val="26"/>
          <w:szCs w:val="26"/>
        </w:rPr>
        <w:t xml:space="preserve"> de los </w:t>
      </w:r>
      <w:r w:rsidR="0061352E">
        <w:rPr>
          <w:rFonts w:cs="Arial"/>
          <w:sz w:val="26"/>
          <w:szCs w:val="26"/>
        </w:rPr>
        <w:t>postulados</w:t>
      </w:r>
      <w:r w:rsidR="005350AB">
        <w:rPr>
          <w:rFonts w:cs="Arial"/>
          <w:sz w:val="26"/>
          <w:szCs w:val="26"/>
        </w:rPr>
        <w:t xml:space="preserve"> del artículo 2° </w:t>
      </w:r>
      <w:r w:rsidR="00267D8A">
        <w:rPr>
          <w:rFonts w:cs="Arial"/>
          <w:sz w:val="26"/>
          <w:szCs w:val="26"/>
        </w:rPr>
        <w:t>constitucional</w:t>
      </w:r>
      <w:r w:rsidR="005350AB" w:rsidRPr="005350AB">
        <w:rPr>
          <w:rFonts w:cs="Arial"/>
          <w:sz w:val="26"/>
          <w:szCs w:val="26"/>
        </w:rPr>
        <w:t xml:space="preserve"> </w:t>
      </w:r>
      <w:r w:rsidR="005350AB">
        <w:rPr>
          <w:rFonts w:cs="Arial"/>
          <w:sz w:val="26"/>
          <w:szCs w:val="26"/>
        </w:rPr>
        <w:t xml:space="preserve">relativos a </w:t>
      </w:r>
      <w:r w:rsidR="005350AB" w:rsidRPr="0061352E">
        <w:rPr>
          <w:rFonts w:cs="Arial"/>
          <w:sz w:val="26"/>
          <w:szCs w:val="26"/>
          <w:lang w:val="es-MX"/>
        </w:rPr>
        <w:t xml:space="preserve">la autodeterminación, a la preservación de </w:t>
      </w:r>
      <w:r w:rsidR="005350AB">
        <w:rPr>
          <w:rFonts w:cs="Arial"/>
          <w:sz w:val="26"/>
          <w:szCs w:val="26"/>
          <w:lang w:val="es-MX"/>
        </w:rPr>
        <w:t xml:space="preserve">su </w:t>
      </w:r>
      <w:r w:rsidR="005350AB" w:rsidRPr="0061352E">
        <w:rPr>
          <w:rFonts w:cs="Arial"/>
          <w:sz w:val="26"/>
          <w:szCs w:val="26"/>
          <w:lang w:val="es-MX"/>
        </w:rPr>
        <w:t>cultura e iden</w:t>
      </w:r>
      <w:r w:rsidR="00DE1EAC">
        <w:rPr>
          <w:rFonts w:cs="Arial"/>
          <w:sz w:val="26"/>
          <w:szCs w:val="26"/>
          <w:lang w:val="es-MX"/>
        </w:rPr>
        <w:t>tidad, al acceso a la justicia,</w:t>
      </w:r>
      <w:r w:rsidR="00267D8A">
        <w:rPr>
          <w:rFonts w:cs="Arial"/>
          <w:sz w:val="26"/>
          <w:szCs w:val="26"/>
          <w:lang w:val="es-MX"/>
        </w:rPr>
        <w:t xml:space="preserve"> así como</w:t>
      </w:r>
      <w:r w:rsidR="005350AB" w:rsidRPr="0061352E">
        <w:rPr>
          <w:rFonts w:cs="Arial"/>
          <w:sz w:val="26"/>
          <w:szCs w:val="26"/>
          <w:lang w:val="es-MX"/>
        </w:rPr>
        <w:t xml:space="preserve"> a la igualdad y</w:t>
      </w:r>
      <w:r w:rsidR="00DE1EAC">
        <w:rPr>
          <w:rFonts w:cs="Arial"/>
          <w:sz w:val="26"/>
          <w:szCs w:val="26"/>
          <w:lang w:val="es-MX"/>
        </w:rPr>
        <w:t xml:space="preserve"> </w:t>
      </w:r>
      <w:r w:rsidR="005C07A0">
        <w:rPr>
          <w:rFonts w:cs="Arial"/>
          <w:sz w:val="26"/>
          <w:szCs w:val="26"/>
          <w:lang w:val="es-MX"/>
        </w:rPr>
        <w:t xml:space="preserve">a </w:t>
      </w:r>
      <w:r w:rsidR="00DB7E15">
        <w:rPr>
          <w:rFonts w:cs="Arial"/>
          <w:sz w:val="26"/>
          <w:szCs w:val="26"/>
          <w:lang w:val="es-MX"/>
        </w:rPr>
        <w:t xml:space="preserve">la </w:t>
      </w:r>
      <w:r w:rsidR="005350AB" w:rsidRPr="0061352E">
        <w:rPr>
          <w:rFonts w:cs="Arial"/>
          <w:sz w:val="26"/>
          <w:szCs w:val="26"/>
          <w:lang w:val="es-MX"/>
        </w:rPr>
        <w:t>no discriminación</w:t>
      </w:r>
      <w:r>
        <w:rPr>
          <w:rFonts w:cs="Arial"/>
          <w:sz w:val="26"/>
          <w:szCs w:val="26"/>
        </w:rPr>
        <w:t>.</w:t>
      </w:r>
      <w:r w:rsidR="00363BBA">
        <w:rPr>
          <w:rFonts w:cs="Arial"/>
          <w:sz w:val="26"/>
          <w:szCs w:val="26"/>
        </w:rPr>
        <w:t xml:space="preserve"> </w:t>
      </w:r>
      <w:r w:rsidR="00FB55A4">
        <w:rPr>
          <w:rFonts w:cs="Arial"/>
          <w:sz w:val="26"/>
          <w:szCs w:val="26"/>
        </w:rPr>
        <w:t xml:space="preserve">La </w:t>
      </w:r>
      <w:r w:rsidR="00F51ED6">
        <w:rPr>
          <w:rFonts w:cs="Arial"/>
          <w:sz w:val="26"/>
          <w:szCs w:val="26"/>
        </w:rPr>
        <w:t xml:space="preserve">Suprema </w:t>
      </w:r>
      <w:r w:rsidR="00FB55A4">
        <w:rPr>
          <w:rFonts w:cs="Arial"/>
          <w:sz w:val="26"/>
          <w:szCs w:val="26"/>
        </w:rPr>
        <w:t>Corte sostuvo que, a</w:t>
      </w:r>
      <w:r>
        <w:rPr>
          <w:rFonts w:cs="Arial"/>
          <w:sz w:val="26"/>
          <w:szCs w:val="26"/>
        </w:rPr>
        <w:t xml:space="preserve"> pesar de que</w:t>
      </w:r>
      <w:r w:rsidR="00613F05">
        <w:rPr>
          <w:rFonts w:cs="Arial"/>
          <w:sz w:val="26"/>
          <w:szCs w:val="26"/>
        </w:rPr>
        <w:t xml:space="preserve"> </w:t>
      </w:r>
      <w:r w:rsidR="005350AB">
        <w:rPr>
          <w:rFonts w:cs="Arial"/>
          <w:sz w:val="26"/>
          <w:szCs w:val="26"/>
        </w:rPr>
        <w:t>la consulta indígena</w:t>
      </w:r>
      <w:r w:rsidR="0061352E">
        <w:rPr>
          <w:rFonts w:cs="Arial"/>
          <w:sz w:val="26"/>
          <w:szCs w:val="26"/>
        </w:rPr>
        <w:t xml:space="preserve"> </w:t>
      </w:r>
      <w:r w:rsidR="00613F05">
        <w:rPr>
          <w:rFonts w:cs="Arial"/>
          <w:sz w:val="26"/>
          <w:szCs w:val="26"/>
        </w:rPr>
        <w:t xml:space="preserve">no </w:t>
      </w:r>
      <w:r w:rsidR="00D062F0">
        <w:rPr>
          <w:rFonts w:cs="Arial"/>
          <w:sz w:val="26"/>
          <w:szCs w:val="26"/>
        </w:rPr>
        <w:t>est</w:t>
      </w:r>
      <w:r w:rsidR="00FB55A4">
        <w:rPr>
          <w:rFonts w:cs="Arial"/>
          <w:sz w:val="26"/>
          <w:szCs w:val="26"/>
        </w:rPr>
        <w:t>uviera</w:t>
      </w:r>
      <w:r w:rsidR="00613F05">
        <w:rPr>
          <w:rFonts w:cs="Arial"/>
          <w:sz w:val="26"/>
          <w:szCs w:val="26"/>
        </w:rPr>
        <w:t xml:space="preserve"> previ</w:t>
      </w:r>
      <w:r w:rsidR="00D062F0">
        <w:rPr>
          <w:rFonts w:cs="Arial"/>
          <w:sz w:val="26"/>
          <w:szCs w:val="26"/>
        </w:rPr>
        <w:t>st</w:t>
      </w:r>
      <w:r w:rsidR="00613F05">
        <w:rPr>
          <w:rFonts w:cs="Arial"/>
          <w:sz w:val="26"/>
          <w:szCs w:val="26"/>
        </w:rPr>
        <w:t>a expresamente</w:t>
      </w:r>
      <w:r w:rsidR="00866093">
        <w:rPr>
          <w:rFonts w:cs="Arial"/>
          <w:sz w:val="26"/>
          <w:szCs w:val="26"/>
        </w:rPr>
        <w:t xml:space="preserve"> </w:t>
      </w:r>
      <w:r w:rsidR="00FB55A4">
        <w:rPr>
          <w:rFonts w:cs="Arial"/>
          <w:sz w:val="26"/>
          <w:szCs w:val="26"/>
        </w:rPr>
        <w:t xml:space="preserve">en el texto constitucional </w:t>
      </w:r>
      <w:r w:rsidR="00613F05">
        <w:rPr>
          <w:rFonts w:cs="Arial"/>
          <w:sz w:val="26"/>
          <w:szCs w:val="26"/>
        </w:rPr>
        <w:t>como parte del procedimiento legislativo</w:t>
      </w:r>
      <w:r w:rsidR="006117A4">
        <w:rPr>
          <w:rFonts w:cs="Arial"/>
          <w:sz w:val="26"/>
          <w:szCs w:val="26"/>
        </w:rPr>
        <w:t>,</w:t>
      </w:r>
      <w:r w:rsidR="00613F05">
        <w:rPr>
          <w:rFonts w:cs="Arial"/>
          <w:sz w:val="26"/>
          <w:szCs w:val="26"/>
        </w:rPr>
        <w:t xml:space="preserve"> </w:t>
      </w:r>
      <w:r w:rsidR="001C2E5E">
        <w:rPr>
          <w:rFonts w:cs="Arial"/>
          <w:sz w:val="26"/>
          <w:szCs w:val="26"/>
        </w:rPr>
        <w:t xml:space="preserve">en términos del artículo 1° </w:t>
      </w:r>
      <w:r w:rsidR="0002415B">
        <w:rPr>
          <w:rFonts w:cs="Arial"/>
          <w:sz w:val="26"/>
          <w:szCs w:val="26"/>
        </w:rPr>
        <w:t xml:space="preserve">de la </w:t>
      </w:r>
      <w:r w:rsidR="0002415B">
        <w:rPr>
          <w:rFonts w:cs="Arial"/>
          <w:sz w:val="26"/>
          <w:szCs w:val="26"/>
        </w:rPr>
        <w:lastRenderedPageBreak/>
        <w:t>Constitución Federal</w:t>
      </w:r>
      <w:r w:rsidR="001C2E5E">
        <w:rPr>
          <w:rFonts w:cs="Arial"/>
          <w:sz w:val="26"/>
          <w:szCs w:val="26"/>
        </w:rPr>
        <w:t xml:space="preserve"> </w:t>
      </w:r>
      <w:r w:rsidR="00613F05">
        <w:rPr>
          <w:rFonts w:cs="Arial"/>
          <w:sz w:val="26"/>
          <w:szCs w:val="26"/>
        </w:rPr>
        <w:t>los</w:t>
      </w:r>
      <w:r w:rsidR="002C368B">
        <w:rPr>
          <w:rFonts w:cs="Arial"/>
          <w:sz w:val="26"/>
          <w:szCs w:val="26"/>
        </w:rPr>
        <w:t xml:space="preserve"> </w:t>
      </w:r>
      <w:r w:rsidR="00A20B6E">
        <w:rPr>
          <w:rFonts w:cs="Arial"/>
          <w:sz w:val="26"/>
          <w:szCs w:val="26"/>
        </w:rPr>
        <w:t xml:space="preserve">referidos </w:t>
      </w:r>
      <w:r w:rsidR="00613F05">
        <w:rPr>
          <w:rFonts w:cs="Arial"/>
          <w:sz w:val="26"/>
          <w:szCs w:val="26"/>
        </w:rPr>
        <w:t>artículos 6 y 7 del Convenio 169 de la OIT forma</w:t>
      </w:r>
      <w:r w:rsidR="00FB55A4">
        <w:rPr>
          <w:rFonts w:cs="Arial"/>
          <w:sz w:val="26"/>
          <w:szCs w:val="26"/>
        </w:rPr>
        <w:t>ba</w:t>
      </w:r>
      <w:r w:rsidR="00613F05">
        <w:rPr>
          <w:rFonts w:cs="Arial"/>
          <w:sz w:val="26"/>
          <w:szCs w:val="26"/>
        </w:rPr>
        <w:t>n parte del parámetr</w:t>
      </w:r>
      <w:r w:rsidR="0061352E">
        <w:rPr>
          <w:rFonts w:cs="Arial"/>
          <w:sz w:val="26"/>
          <w:szCs w:val="26"/>
        </w:rPr>
        <w:t xml:space="preserve">o de </w:t>
      </w:r>
      <w:r w:rsidR="00FB55A4">
        <w:rPr>
          <w:rFonts w:cs="Arial"/>
          <w:sz w:val="26"/>
          <w:szCs w:val="26"/>
        </w:rPr>
        <w:t>regularidad constitucional</w:t>
      </w:r>
      <w:r w:rsidR="00A20B6E">
        <w:rPr>
          <w:rFonts w:cs="Arial"/>
          <w:sz w:val="26"/>
          <w:szCs w:val="26"/>
        </w:rPr>
        <w:t>.</w:t>
      </w:r>
      <w:r w:rsidR="00CF09D1">
        <w:rPr>
          <w:rFonts w:cs="Arial"/>
          <w:sz w:val="26"/>
          <w:szCs w:val="26"/>
        </w:rPr>
        <w:t xml:space="preserve"> </w:t>
      </w:r>
      <w:r w:rsidR="00A20B6E">
        <w:rPr>
          <w:rFonts w:cs="Arial"/>
          <w:sz w:val="26"/>
          <w:szCs w:val="26"/>
        </w:rPr>
        <w:t>Ellos</w:t>
      </w:r>
      <w:r w:rsidR="00CF09D1">
        <w:rPr>
          <w:rFonts w:cs="Arial"/>
          <w:sz w:val="26"/>
          <w:szCs w:val="26"/>
        </w:rPr>
        <w:t xml:space="preserve"> impon</w:t>
      </w:r>
      <w:r w:rsidR="00FB55A4">
        <w:rPr>
          <w:rFonts w:cs="Arial"/>
          <w:sz w:val="26"/>
          <w:szCs w:val="26"/>
        </w:rPr>
        <w:t>ía</w:t>
      </w:r>
      <w:r w:rsidR="00CF09D1">
        <w:rPr>
          <w:rFonts w:cs="Arial"/>
          <w:sz w:val="26"/>
          <w:szCs w:val="26"/>
        </w:rPr>
        <w:t>n</w:t>
      </w:r>
      <w:r w:rsidR="0024766C">
        <w:rPr>
          <w:rFonts w:cs="Arial"/>
          <w:sz w:val="26"/>
          <w:szCs w:val="26"/>
        </w:rPr>
        <w:t xml:space="preserve"> por sí mismos</w:t>
      </w:r>
      <w:r w:rsidR="00CF09D1">
        <w:rPr>
          <w:rFonts w:cs="Arial"/>
          <w:sz w:val="26"/>
          <w:szCs w:val="26"/>
        </w:rPr>
        <w:t xml:space="preserve"> toda una serie de </w:t>
      </w:r>
      <w:r w:rsidR="00520E4D">
        <w:rPr>
          <w:rFonts w:cs="Arial"/>
          <w:sz w:val="26"/>
          <w:szCs w:val="26"/>
        </w:rPr>
        <w:t>obligaciones</w:t>
      </w:r>
      <w:r w:rsidR="00CF09D1">
        <w:rPr>
          <w:rFonts w:cs="Arial"/>
          <w:sz w:val="26"/>
          <w:szCs w:val="26"/>
        </w:rPr>
        <w:t xml:space="preserve"> a las autoridades </w:t>
      </w:r>
      <w:r w:rsidR="005C07A0">
        <w:rPr>
          <w:rFonts w:cs="Arial"/>
          <w:sz w:val="26"/>
          <w:szCs w:val="26"/>
        </w:rPr>
        <w:t>mexicanas</w:t>
      </w:r>
      <w:r w:rsidR="00CF09D1">
        <w:rPr>
          <w:rFonts w:cs="Arial"/>
          <w:sz w:val="26"/>
          <w:szCs w:val="26"/>
        </w:rPr>
        <w:t xml:space="preserve"> </w:t>
      </w:r>
      <w:r w:rsidR="00A3757C">
        <w:rPr>
          <w:rFonts w:cs="Arial"/>
          <w:sz w:val="26"/>
          <w:szCs w:val="26"/>
        </w:rPr>
        <w:t xml:space="preserve">antes de </w:t>
      </w:r>
      <w:r w:rsidR="00FE08DA">
        <w:rPr>
          <w:rFonts w:cs="Arial"/>
          <w:sz w:val="26"/>
          <w:szCs w:val="26"/>
        </w:rPr>
        <w:t>tomar decisiones</w:t>
      </w:r>
      <w:r w:rsidR="00A3757C">
        <w:rPr>
          <w:rFonts w:cs="Arial"/>
          <w:sz w:val="26"/>
          <w:szCs w:val="26"/>
        </w:rPr>
        <w:t xml:space="preserve"> que </w:t>
      </w:r>
      <w:r w:rsidR="00FE08DA">
        <w:rPr>
          <w:rFonts w:cs="Arial"/>
          <w:sz w:val="26"/>
          <w:szCs w:val="26"/>
        </w:rPr>
        <w:t>pud</w:t>
      </w:r>
      <w:r w:rsidR="00FB55A4">
        <w:rPr>
          <w:rFonts w:cs="Arial"/>
          <w:sz w:val="26"/>
          <w:szCs w:val="26"/>
        </w:rPr>
        <w:t>ier</w:t>
      </w:r>
      <w:r w:rsidR="00FE08DA">
        <w:rPr>
          <w:rFonts w:cs="Arial"/>
          <w:sz w:val="26"/>
          <w:szCs w:val="26"/>
        </w:rPr>
        <w:t>an afectar de manera directa a los grupos que protege el Convenio</w:t>
      </w:r>
      <w:r w:rsidR="00CF09D1">
        <w:rPr>
          <w:rFonts w:cs="Arial"/>
          <w:sz w:val="26"/>
          <w:szCs w:val="26"/>
        </w:rPr>
        <w:t>.</w:t>
      </w:r>
      <w:r w:rsidR="0061352E">
        <w:rPr>
          <w:rFonts w:cs="Arial"/>
          <w:sz w:val="26"/>
          <w:szCs w:val="26"/>
        </w:rPr>
        <w:t xml:space="preserve"> Por consiguiente,</w:t>
      </w:r>
      <w:r w:rsidR="00713BD8">
        <w:rPr>
          <w:rFonts w:cs="Arial"/>
          <w:sz w:val="26"/>
          <w:szCs w:val="26"/>
        </w:rPr>
        <w:t xml:space="preserve"> </w:t>
      </w:r>
      <w:r w:rsidR="00965387">
        <w:rPr>
          <w:rFonts w:cs="Arial"/>
          <w:sz w:val="26"/>
          <w:szCs w:val="26"/>
        </w:rPr>
        <w:t xml:space="preserve">se concluyó que </w:t>
      </w:r>
      <w:r w:rsidR="00713BD8">
        <w:rPr>
          <w:rFonts w:cs="Arial"/>
          <w:sz w:val="26"/>
          <w:szCs w:val="26"/>
        </w:rPr>
        <w:t xml:space="preserve">en </w:t>
      </w:r>
      <w:r w:rsidR="0002415B">
        <w:rPr>
          <w:rFonts w:cs="Arial"/>
          <w:sz w:val="26"/>
          <w:szCs w:val="26"/>
        </w:rPr>
        <w:t xml:space="preserve">los </w:t>
      </w:r>
      <w:r w:rsidR="00713BD8">
        <w:rPr>
          <w:rFonts w:cs="Arial"/>
          <w:sz w:val="26"/>
          <w:szCs w:val="26"/>
        </w:rPr>
        <w:t xml:space="preserve">supuestos de </w:t>
      </w:r>
      <w:r w:rsidR="00394BCA">
        <w:rPr>
          <w:rFonts w:cs="Arial"/>
          <w:sz w:val="26"/>
          <w:szCs w:val="26"/>
        </w:rPr>
        <w:t xml:space="preserve">una posible </w:t>
      </w:r>
      <w:r w:rsidR="00713BD8">
        <w:rPr>
          <w:rFonts w:cs="Arial"/>
          <w:sz w:val="26"/>
          <w:szCs w:val="26"/>
        </w:rPr>
        <w:t>afectación directa</w:t>
      </w:r>
      <w:r w:rsidR="001C2E5E">
        <w:rPr>
          <w:rFonts w:cs="Arial"/>
          <w:sz w:val="26"/>
          <w:szCs w:val="26"/>
        </w:rPr>
        <w:t xml:space="preserve"> a las comunidades indígenas</w:t>
      </w:r>
      <w:r w:rsidR="00DB7E15">
        <w:rPr>
          <w:rFonts w:cs="Arial"/>
          <w:sz w:val="26"/>
          <w:szCs w:val="26"/>
        </w:rPr>
        <w:t xml:space="preserve"> que habitan en su territorio</w:t>
      </w:r>
      <w:r w:rsidR="00267D8A">
        <w:rPr>
          <w:rFonts w:cs="Arial"/>
          <w:sz w:val="26"/>
          <w:szCs w:val="26"/>
        </w:rPr>
        <w:t>,</w:t>
      </w:r>
      <w:r w:rsidR="00613F05">
        <w:rPr>
          <w:rFonts w:cs="Arial"/>
          <w:sz w:val="26"/>
          <w:szCs w:val="26"/>
        </w:rPr>
        <w:t xml:space="preserve"> las legislaturas locales se enc</w:t>
      </w:r>
      <w:r w:rsidR="0024766C">
        <w:rPr>
          <w:rFonts w:cs="Arial"/>
          <w:sz w:val="26"/>
          <w:szCs w:val="26"/>
        </w:rPr>
        <w:t>ont</w:t>
      </w:r>
      <w:r w:rsidR="00FB1946">
        <w:rPr>
          <w:rFonts w:cs="Arial"/>
          <w:sz w:val="26"/>
          <w:szCs w:val="26"/>
        </w:rPr>
        <w:t>r</w:t>
      </w:r>
      <w:r w:rsidR="00613F05">
        <w:rPr>
          <w:rFonts w:cs="Arial"/>
          <w:sz w:val="26"/>
          <w:szCs w:val="26"/>
        </w:rPr>
        <w:t>a</w:t>
      </w:r>
      <w:r w:rsidR="0024766C">
        <w:rPr>
          <w:rFonts w:cs="Arial"/>
          <w:sz w:val="26"/>
          <w:szCs w:val="26"/>
        </w:rPr>
        <w:t>ba</w:t>
      </w:r>
      <w:r w:rsidR="00613F05">
        <w:rPr>
          <w:rFonts w:cs="Arial"/>
          <w:sz w:val="26"/>
          <w:szCs w:val="26"/>
        </w:rPr>
        <w:t>n obligadas a prever una fase adicional en el procedimiento de creación de las leyes</w:t>
      </w:r>
      <w:r w:rsidR="00713BD8">
        <w:rPr>
          <w:rFonts w:cs="Arial"/>
          <w:sz w:val="26"/>
          <w:szCs w:val="26"/>
        </w:rPr>
        <w:t xml:space="preserve"> para consultar a los representantes de ese sector de la población</w:t>
      </w:r>
      <w:r w:rsidR="00613F05" w:rsidRPr="00894B94">
        <w:rPr>
          <w:rStyle w:val="Refdenotaalpie"/>
          <w:rFonts w:cs="Arial"/>
          <w:sz w:val="26"/>
          <w:szCs w:val="26"/>
        </w:rPr>
        <w:footnoteReference w:id="52"/>
      </w:r>
      <w:r w:rsidR="00613F05">
        <w:rPr>
          <w:rFonts w:cs="Arial"/>
          <w:sz w:val="26"/>
          <w:szCs w:val="26"/>
        </w:rPr>
        <w:t>.</w:t>
      </w:r>
    </w:p>
    <w:p w:rsidR="009C2DF9" w:rsidRPr="009C2DF9" w:rsidRDefault="00DB7E15" w:rsidP="001D7F75">
      <w:pPr>
        <w:pStyle w:val="corte4fondo"/>
        <w:numPr>
          <w:ilvl w:val="0"/>
          <w:numId w:val="1"/>
        </w:numPr>
        <w:tabs>
          <w:tab w:val="clear" w:pos="-3"/>
          <w:tab w:val="left" w:pos="0"/>
        </w:tabs>
        <w:spacing w:after="360" w:line="360" w:lineRule="auto"/>
        <w:ind w:left="0" w:hanging="567"/>
        <w:rPr>
          <w:bCs/>
          <w:sz w:val="26"/>
          <w:szCs w:val="26"/>
          <w:lang w:val="es-MX"/>
        </w:rPr>
      </w:pPr>
      <w:r>
        <w:rPr>
          <w:rFonts w:cs="Arial"/>
          <w:sz w:val="26"/>
          <w:szCs w:val="26"/>
        </w:rPr>
        <w:t>En segundo lugar</w:t>
      </w:r>
      <w:r w:rsidR="00FB1946">
        <w:rPr>
          <w:rFonts w:cs="Arial"/>
          <w:sz w:val="26"/>
          <w:szCs w:val="26"/>
        </w:rPr>
        <w:t>,</w:t>
      </w:r>
      <w:r w:rsidR="00875B05" w:rsidRPr="00875B05">
        <w:rPr>
          <w:rFonts w:cs="Arial"/>
          <w:sz w:val="26"/>
          <w:szCs w:val="26"/>
        </w:rPr>
        <w:t xml:space="preserve"> </w:t>
      </w:r>
      <w:r w:rsidR="005438A1">
        <w:rPr>
          <w:rFonts w:cs="Arial"/>
          <w:sz w:val="26"/>
          <w:szCs w:val="26"/>
        </w:rPr>
        <w:t>a la par</w:t>
      </w:r>
      <w:r w:rsidR="00CF09D1">
        <w:rPr>
          <w:rFonts w:cs="Arial"/>
          <w:sz w:val="26"/>
          <w:szCs w:val="26"/>
        </w:rPr>
        <w:t xml:space="preserve"> </w:t>
      </w:r>
      <w:r w:rsidR="005438A1">
        <w:rPr>
          <w:rFonts w:cs="Arial"/>
          <w:sz w:val="26"/>
          <w:szCs w:val="26"/>
        </w:rPr>
        <w:t>de</w:t>
      </w:r>
      <w:r w:rsidR="009D7B3A">
        <w:rPr>
          <w:rFonts w:cs="Arial"/>
          <w:sz w:val="26"/>
          <w:szCs w:val="26"/>
        </w:rPr>
        <w:t xml:space="preserve">l </w:t>
      </w:r>
      <w:r w:rsidR="00CF09D1">
        <w:rPr>
          <w:rFonts w:cs="Arial"/>
          <w:sz w:val="26"/>
          <w:szCs w:val="26"/>
        </w:rPr>
        <w:t>de</w:t>
      </w:r>
      <w:r w:rsidR="009D7B3A">
        <w:rPr>
          <w:rFonts w:cs="Arial"/>
          <w:sz w:val="26"/>
          <w:szCs w:val="26"/>
        </w:rPr>
        <w:t>sarrollo de</w:t>
      </w:r>
      <w:r w:rsidR="00A857FA">
        <w:rPr>
          <w:rFonts w:cs="Arial"/>
          <w:sz w:val="26"/>
          <w:szCs w:val="26"/>
        </w:rPr>
        <w:t xml:space="preserve"> </w:t>
      </w:r>
      <w:r w:rsidR="00875B05">
        <w:rPr>
          <w:rFonts w:cs="Arial"/>
          <w:sz w:val="26"/>
          <w:szCs w:val="26"/>
        </w:rPr>
        <w:t>c</w:t>
      </w:r>
      <w:r w:rsidR="009D7B3A">
        <w:rPr>
          <w:rFonts w:cs="Arial"/>
          <w:sz w:val="26"/>
          <w:szCs w:val="26"/>
        </w:rPr>
        <w:t>riterios</w:t>
      </w:r>
      <w:r w:rsidR="00520E4D">
        <w:rPr>
          <w:rFonts w:cs="Arial"/>
          <w:sz w:val="26"/>
          <w:szCs w:val="26"/>
        </w:rPr>
        <w:t xml:space="preserve"> específicos</w:t>
      </w:r>
      <w:r w:rsidR="00875B05">
        <w:rPr>
          <w:rFonts w:cs="Arial"/>
          <w:sz w:val="26"/>
          <w:szCs w:val="26"/>
        </w:rPr>
        <w:t xml:space="preserve"> </w:t>
      </w:r>
      <w:r w:rsidR="009D7B3A">
        <w:rPr>
          <w:rFonts w:cs="Arial"/>
          <w:sz w:val="26"/>
          <w:szCs w:val="26"/>
        </w:rPr>
        <w:t>para evaluar la</w:t>
      </w:r>
      <w:r w:rsidR="00875B05">
        <w:rPr>
          <w:rFonts w:cs="Arial"/>
          <w:sz w:val="26"/>
          <w:szCs w:val="26"/>
        </w:rPr>
        <w:t xml:space="preserve"> </w:t>
      </w:r>
      <w:r w:rsidR="009D7B3A">
        <w:rPr>
          <w:rFonts w:cs="Arial"/>
          <w:sz w:val="26"/>
          <w:szCs w:val="26"/>
        </w:rPr>
        <w:t xml:space="preserve">validez de </w:t>
      </w:r>
      <w:r w:rsidR="00076E2B">
        <w:rPr>
          <w:rFonts w:cs="Arial"/>
          <w:sz w:val="26"/>
          <w:szCs w:val="26"/>
        </w:rPr>
        <w:t>las consultas a las comunidades indígenas y afromexicanas</w:t>
      </w:r>
      <w:r w:rsidR="00875B05">
        <w:rPr>
          <w:rFonts w:cs="Arial"/>
          <w:sz w:val="26"/>
          <w:szCs w:val="26"/>
        </w:rPr>
        <w:t>,</w:t>
      </w:r>
      <w:r w:rsidR="00FB1946">
        <w:rPr>
          <w:rFonts w:cs="Arial"/>
          <w:sz w:val="26"/>
          <w:szCs w:val="26"/>
        </w:rPr>
        <w:t xml:space="preserve"> </w:t>
      </w:r>
      <w:r w:rsidR="0063672F">
        <w:rPr>
          <w:rFonts w:cs="Arial"/>
          <w:sz w:val="26"/>
          <w:szCs w:val="26"/>
        </w:rPr>
        <w:t>el Tribunal Pleno</w:t>
      </w:r>
      <w:r w:rsidR="00C6100D">
        <w:rPr>
          <w:rFonts w:cs="Arial"/>
          <w:sz w:val="26"/>
          <w:szCs w:val="26"/>
        </w:rPr>
        <w:t xml:space="preserve"> </w:t>
      </w:r>
      <w:r w:rsidR="00FB1946">
        <w:rPr>
          <w:rFonts w:cs="Arial"/>
          <w:sz w:val="26"/>
          <w:szCs w:val="26"/>
        </w:rPr>
        <w:t>ha ido precisando</w:t>
      </w:r>
      <w:r w:rsidR="006A08DA">
        <w:rPr>
          <w:rFonts w:cs="Arial"/>
          <w:sz w:val="26"/>
          <w:szCs w:val="26"/>
        </w:rPr>
        <w:t xml:space="preserve"> cas</w:t>
      </w:r>
      <w:r w:rsidR="00E62752">
        <w:rPr>
          <w:rFonts w:cs="Arial"/>
          <w:sz w:val="26"/>
          <w:szCs w:val="26"/>
        </w:rPr>
        <w:t>o por caso</w:t>
      </w:r>
      <w:r w:rsidR="00BC7719" w:rsidRPr="00BC7719">
        <w:rPr>
          <w:rFonts w:cs="Arial"/>
          <w:sz w:val="26"/>
          <w:szCs w:val="26"/>
        </w:rPr>
        <w:t xml:space="preserve"> </w:t>
      </w:r>
      <w:r w:rsidR="00134AAA">
        <w:rPr>
          <w:rFonts w:cs="Arial"/>
          <w:sz w:val="26"/>
          <w:szCs w:val="26"/>
        </w:rPr>
        <w:t>qu</w:t>
      </w:r>
      <w:r w:rsidR="009A7AE2">
        <w:rPr>
          <w:rFonts w:cs="Arial"/>
          <w:sz w:val="26"/>
          <w:szCs w:val="26"/>
        </w:rPr>
        <w:t xml:space="preserve">é debe entenderse </w:t>
      </w:r>
      <w:r w:rsidR="00F11F98">
        <w:rPr>
          <w:rFonts w:cs="Arial"/>
          <w:sz w:val="26"/>
          <w:szCs w:val="26"/>
        </w:rPr>
        <w:t>por</w:t>
      </w:r>
      <w:r w:rsidR="00134AAA">
        <w:rPr>
          <w:rFonts w:cs="Arial"/>
          <w:sz w:val="26"/>
          <w:szCs w:val="26"/>
        </w:rPr>
        <w:t xml:space="preserve"> </w:t>
      </w:r>
      <w:r w:rsidR="009A7AE2">
        <w:rPr>
          <w:rFonts w:cs="Arial"/>
          <w:sz w:val="26"/>
          <w:szCs w:val="26"/>
        </w:rPr>
        <w:t>“</w:t>
      </w:r>
      <w:r w:rsidR="00A65BCC" w:rsidRPr="009A7AE2">
        <w:rPr>
          <w:rFonts w:cs="Arial"/>
          <w:i/>
          <w:sz w:val="26"/>
          <w:szCs w:val="26"/>
        </w:rPr>
        <w:t>medida</w:t>
      </w:r>
      <w:r w:rsidR="009A7AE2" w:rsidRPr="009A7AE2">
        <w:rPr>
          <w:rFonts w:cs="Arial"/>
          <w:i/>
          <w:sz w:val="26"/>
          <w:szCs w:val="26"/>
        </w:rPr>
        <w:t>s legislativas o administrativas</w:t>
      </w:r>
      <w:r w:rsidR="00A65BCC">
        <w:rPr>
          <w:rFonts w:cs="Arial"/>
          <w:sz w:val="26"/>
          <w:szCs w:val="26"/>
        </w:rPr>
        <w:t xml:space="preserve"> </w:t>
      </w:r>
      <w:r w:rsidR="00A65BCC" w:rsidRPr="009A7AE2">
        <w:rPr>
          <w:rFonts w:cs="Arial"/>
          <w:i/>
          <w:sz w:val="26"/>
          <w:szCs w:val="26"/>
        </w:rPr>
        <w:t>susceptible</w:t>
      </w:r>
      <w:r w:rsidR="009A7AE2">
        <w:rPr>
          <w:rFonts w:cs="Arial"/>
          <w:i/>
          <w:sz w:val="26"/>
          <w:szCs w:val="26"/>
        </w:rPr>
        <w:t>s</w:t>
      </w:r>
      <w:r w:rsidR="00A65BCC" w:rsidRPr="009A7AE2">
        <w:rPr>
          <w:rFonts w:cs="Arial"/>
          <w:i/>
          <w:sz w:val="26"/>
          <w:szCs w:val="26"/>
        </w:rPr>
        <w:t xml:space="preserve"> de afectar</w:t>
      </w:r>
      <w:r w:rsidR="009A7AE2">
        <w:rPr>
          <w:rFonts w:cs="Arial"/>
          <w:i/>
          <w:sz w:val="26"/>
          <w:szCs w:val="26"/>
        </w:rPr>
        <w:t>les</w:t>
      </w:r>
      <w:r w:rsidR="00134AAA" w:rsidRPr="009A7AE2">
        <w:rPr>
          <w:rFonts w:cs="Arial"/>
          <w:i/>
          <w:sz w:val="26"/>
          <w:szCs w:val="26"/>
        </w:rPr>
        <w:t xml:space="preserve"> directa</w:t>
      </w:r>
      <w:r w:rsidR="00A65BCC" w:rsidRPr="009A7AE2">
        <w:rPr>
          <w:rFonts w:cs="Arial"/>
          <w:i/>
          <w:sz w:val="26"/>
          <w:szCs w:val="26"/>
        </w:rPr>
        <w:t>mente</w:t>
      </w:r>
      <w:r w:rsidR="00A65BCC">
        <w:rPr>
          <w:rFonts w:cs="Arial"/>
          <w:sz w:val="26"/>
          <w:szCs w:val="26"/>
        </w:rPr>
        <w:t>”</w:t>
      </w:r>
      <w:r w:rsidR="00134AAA">
        <w:rPr>
          <w:rFonts w:cs="Arial"/>
          <w:sz w:val="26"/>
          <w:szCs w:val="26"/>
        </w:rPr>
        <w:t xml:space="preserve"> en el sentido del </w:t>
      </w:r>
      <w:r w:rsidR="0048151E">
        <w:rPr>
          <w:rFonts w:cs="Arial"/>
          <w:sz w:val="26"/>
          <w:szCs w:val="26"/>
        </w:rPr>
        <w:t xml:space="preserve">artículo 6 del </w:t>
      </w:r>
      <w:r w:rsidR="00134AAA">
        <w:rPr>
          <w:rFonts w:cs="Arial"/>
          <w:sz w:val="26"/>
          <w:szCs w:val="26"/>
        </w:rPr>
        <w:t>Convenio 169 de la OIT</w:t>
      </w:r>
      <w:r w:rsidR="00713BD8">
        <w:rPr>
          <w:rFonts w:cs="Arial"/>
          <w:sz w:val="26"/>
          <w:szCs w:val="26"/>
        </w:rPr>
        <w:t>.</w:t>
      </w:r>
      <w:r w:rsidR="00134AAA">
        <w:rPr>
          <w:rFonts w:cs="Arial"/>
          <w:sz w:val="26"/>
          <w:szCs w:val="26"/>
        </w:rPr>
        <w:t xml:space="preserve"> En la </w:t>
      </w:r>
      <w:r w:rsidR="002C368B" w:rsidRPr="006A093A">
        <w:rPr>
          <w:rFonts w:cs="Arial"/>
          <w:b/>
          <w:sz w:val="26"/>
          <w:szCs w:val="26"/>
        </w:rPr>
        <w:t>acción de inconstitucionalidad</w:t>
      </w:r>
      <w:r w:rsidR="006A093A" w:rsidRPr="006A093A">
        <w:rPr>
          <w:rFonts w:cs="Arial"/>
          <w:b/>
          <w:sz w:val="26"/>
          <w:szCs w:val="26"/>
        </w:rPr>
        <w:t xml:space="preserve"> 83/2015 y sus acumuladas</w:t>
      </w:r>
      <w:r w:rsidR="00A73DB4" w:rsidRPr="00894B94">
        <w:rPr>
          <w:rStyle w:val="Refdenotaalpie"/>
          <w:rFonts w:cs="Arial"/>
          <w:sz w:val="26"/>
          <w:szCs w:val="26"/>
        </w:rPr>
        <w:footnoteReference w:id="53"/>
      </w:r>
      <w:r w:rsidR="00A65BCC">
        <w:rPr>
          <w:rFonts w:cs="Arial"/>
          <w:sz w:val="26"/>
          <w:szCs w:val="26"/>
        </w:rPr>
        <w:t>, por ejemplo,</w:t>
      </w:r>
      <w:r w:rsidR="0063672F">
        <w:rPr>
          <w:rFonts w:cs="Arial"/>
          <w:sz w:val="26"/>
          <w:szCs w:val="26"/>
        </w:rPr>
        <w:t xml:space="preserve"> </w:t>
      </w:r>
      <w:r w:rsidR="00F11F98">
        <w:rPr>
          <w:rFonts w:cs="Arial"/>
          <w:sz w:val="26"/>
          <w:szCs w:val="26"/>
        </w:rPr>
        <w:t xml:space="preserve">se </w:t>
      </w:r>
      <w:r w:rsidR="00950E49">
        <w:rPr>
          <w:rFonts w:cs="Arial"/>
          <w:sz w:val="26"/>
          <w:szCs w:val="26"/>
        </w:rPr>
        <w:t>concluy</w:t>
      </w:r>
      <w:r w:rsidR="00F11F98">
        <w:rPr>
          <w:rFonts w:cs="Arial"/>
          <w:sz w:val="26"/>
          <w:szCs w:val="26"/>
        </w:rPr>
        <w:t xml:space="preserve">ó que </w:t>
      </w:r>
      <w:r w:rsidR="00A73DB4">
        <w:rPr>
          <w:rFonts w:cs="Arial"/>
          <w:sz w:val="26"/>
          <w:szCs w:val="26"/>
        </w:rPr>
        <w:t>una</w:t>
      </w:r>
      <w:r w:rsidR="00F11F98">
        <w:rPr>
          <w:rFonts w:cs="Arial"/>
          <w:sz w:val="26"/>
          <w:szCs w:val="26"/>
        </w:rPr>
        <w:t xml:space="preserve"> legislación</w:t>
      </w:r>
      <w:r w:rsidR="006A093A">
        <w:rPr>
          <w:rFonts w:cs="Arial"/>
          <w:sz w:val="26"/>
          <w:szCs w:val="26"/>
        </w:rPr>
        <w:t xml:space="preserve"> es susceptible de afectar directamente </w:t>
      </w:r>
      <w:r w:rsidR="0002415B">
        <w:rPr>
          <w:rFonts w:cs="Arial"/>
          <w:sz w:val="26"/>
          <w:szCs w:val="26"/>
        </w:rPr>
        <w:t xml:space="preserve">a los pueblos y comunidades indígenas </w:t>
      </w:r>
      <w:r w:rsidR="006A093A">
        <w:rPr>
          <w:rFonts w:cs="Arial"/>
          <w:sz w:val="26"/>
          <w:szCs w:val="26"/>
        </w:rPr>
        <w:t>cuando</w:t>
      </w:r>
      <w:r w:rsidR="000E10D9">
        <w:rPr>
          <w:rFonts w:cs="Arial"/>
          <w:sz w:val="26"/>
          <w:szCs w:val="26"/>
        </w:rPr>
        <w:t xml:space="preserve"> </w:t>
      </w:r>
      <w:r w:rsidR="00A73DB4">
        <w:rPr>
          <w:rFonts w:cs="Arial"/>
          <w:sz w:val="26"/>
          <w:szCs w:val="26"/>
        </w:rPr>
        <w:t>el objeto de su regulación son precisamente los</w:t>
      </w:r>
      <w:r w:rsidR="000E10D9">
        <w:rPr>
          <w:rFonts w:cs="Arial"/>
          <w:sz w:val="26"/>
          <w:szCs w:val="26"/>
        </w:rPr>
        <w:t xml:space="preserve"> </w:t>
      </w:r>
      <w:r w:rsidR="00A73DB4">
        <w:rPr>
          <w:rFonts w:cs="Arial"/>
          <w:sz w:val="26"/>
          <w:szCs w:val="26"/>
        </w:rPr>
        <w:t xml:space="preserve">derechos de personas que se rigen por sistemas normativos </w:t>
      </w:r>
      <w:r w:rsidR="000E10D9">
        <w:rPr>
          <w:rFonts w:cs="Arial"/>
          <w:sz w:val="26"/>
          <w:szCs w:val="26"/>
        </w:rPr>
        <w:t>indígenas</w:t>
      </w:r>
      <w:r w:rsidR="00A73DB4" w:rsidRPr="00894B94">
        <w:rPr>
          <w:rStyle w:val="Refdenotaalpie"/>
          <w:rFonts w:cs="Arial"/>
          <w:sz w:val="26"/>
          <w:szCs w:val="26"/>
        </w:rPr>
        <w:footnoteReference w:id="54"/>
      </w:r>
      <w:r w:rsidR="006A093A">
        <w:rPr>
          <w:rFonts w:cs="Arial"/>
          <w:sz w:val="26"/>
          <w:szCs w:val="26"/>
        </w:rPr>
        <w:t>.</w:t>
      </w:r>
      <w:r w:rsidR="00713BD8">
        <w:rPr>
          <w:rFonts w:cs="Arial"/>
          <w:sz w:val="26"/>
          <w:szCs w:val="26"/>
        </w:rPr>
        <w:t xml:space="preserve"> </w:t>
      </w:r>
      <w:r w:rsidR="008D1FC3">
        <w:rPr>
          <w:rFonts w:cs="Arial"/>
          <w:sz w:val="26"/>
          <w:szCs w:val="26"/>
        </w:rPr>
        <w:t>P</w:t>
      </w:r>
      <w:r w:rsidR="00A70C4E">
        <w:rPr>
          <w:rFonts w:cs="Arial"/>
          <w:sz w:val="26"/>
          <w:szCs w:val="26"/>
        </w:rPr>
        <w:t>osteriormente</w:t>
      </w:r>
      <w:r w:rsidR="000E10D9">
        <w:rPr>
          <w:rFonts w:cs="Arial"/>
          <w:sz w:val="26"/>
          <w:szCs w:val="26"/>
        </w:rPr>
        <w:t xml:space="preserve">, en la </w:t>
      </w:r>
      <w:r w:rsidR="000E10D9" w:rsidRPr="00D11888">
        <w:rPr>
          <w:rFonts w:cs="Arial"/>
          <w:b/>
          <w:sz w:val="26"/>
          <w:szCs w:val="26"/>
        </w:rPr>
        <w:t>acción de inconstitucionalidad</w:t>
      </w:r>
      <w:r w:rsidR="00950E49" w:rsidRPr="00D11888">
        <w:rPr>
          <w:rFonts w:cs="Arial"/>
          <w:b/>
          <w:sz w:val="26"/>
          <w:szCs w:val="26"/>
        </w:rPr>
        <w:t xml:space="preserve"> 31/2014</w:t>
      </w:r>
      <w:r w:rsidR="00D11888" w:rsidRPr="00894B94">
        <w:rPr>
          <w:rStyle w:val="Refdenotaalpie"/>
          <w:rFonts w:cs="Arial"/>
          <w:sz w:val="26"/>
          <w:szCs w:val="26"/>
        </w:rPr>
        <w:footnoteReference w:id="55"/>
      </w:r>
      <w:r w:rsidR="00D11888">
        <w:rPr>
          <w:rFonts w:cs="Arial"/>
          <w:sz w:val="26"/>
          <w:szCs w:val="26"/>
        </w:rPr>
        <w:t xml:space="preserve"> se </w:t>
      </w:r>
      <w:r w:rsidR="006A08DA">
        <w:rPr>
          <w:rFonts w:cs="Arial"/>
          <w:sz w:val="26"/>
          <w:szCs w:val="26"/>
        </w:rPr>
        <w:t>explicó</w:t>
      </w:r>
      <w:r w:rsidR="00D11888">
        <w:rPr>
          <w:rFonts w:cs="Arial"/>
          <w:sz w:val="26"/>
          <w:szCs w:val="26"/>
        </w:rPr>
        <w:t xml:space="preserve"> que </w:t>
      </w:r>
      <w:r w:rsidR="008D1FC3">
        <w:rPr>
          <w:rFonts w:cs="Arial"/>
          <w:sz w:val="26"/>
          <w:szCs w:val="26"/>
        </w:rPr>
        <w:t xml:space="preserve">también </w:t>
      </w:r>
      <w:r w:rsidR="000B18E1">
        <w:rPr>
          <w:rFonts w:cs="Arial"/>
          <w:sz w:val="26"/>
          <w:szCs w:val="26"/>
        </w:rPr>
        <w:t xml:space="preserve">actualizan </w:t>
      </w:r>
      <w:r w:rsidR="00E62752">
        <w:rPr>
          <w:rFonts w:cs="Arial"/>
          <w:sz w:val="26"/>
          <w:szCs w:val="26"/>
        </w:rPr>
        <w:t>tal</w:t>
      </w:r>
      <w:r w:rsidR="000B18E1">
        <w:rPr>
          <w:rFonts w:cs="Arial"/>
          <w:sz w:val="26"/>
          <w:szCs w:val="26"/>
        </w:rPr>
        <w:t xml:space="preserve"> supuesto</w:t>
      </w:r>
      <w:r w:rsidR="00D11888">
        <w:rPr>
          <w:rFonts w:cs="Arial"/>
          <w:sz w:val="26"/>
          <w:szCs w:val="26"/>
        </w:rPr>
        <w:t xml:space="preserve"> las medidas</w:t>
      </w:r>
      <w:r w:rsidR="0011123D">
        <w:rPr>
          <w:rFonts w:cs="Arial"/>
          <w:sz w:val="26"/>
          <w:szCs w:val="26"/>
        </w:rPr>
        <w:t xml:space="preserve"> legislativas</w:t>
      </w:r>
      <w:r w:rsidR="00D11888">
        <w:rPr>
          <w:rFonts w:cs="Arial"/>
          <w:sz w:val="26"/>
          <w:szCs w:val="26"/>
        </w:rPr>
        <w:t xml:space="preserve"> que</w:t>
      </w:r>
      <w:r w:rsidR="008D1FC3">
        <w:rPr>
          <w:rFonts w:cs="Arial"/>
          <w:sz w:val="26"/>
          <w:szCs w:val="26"/>
        </w:rPr>
        <w:t xml:space="preserve"> incidan en los mecanismos</w:t>
      </w:r>
      <w:r w:rsidR="00E617BC">
        <w:rPr>
          <w:rFonts w:cs="Arial"/>
          <w:sz w:val="26"/>
          <w:szCs w:val="26"/>
        </w:rPr>
        <w:t xml:space="preserve"> u organismos</w:t>
      </w:r>
      <w:r w:rsidR="008D1FC3">
        <w:rPr>
          <w:rFonts w:cs="Arial"/>
          <w:sz w:val="26"/>
          <w:szCs w:val="26"/>
        </w:rPr>
        <w:t xml:space="preserve"> a través de los cuales las comunidades indígenas pueden ejercer sus derechos de participación en l</w:t>
      </w:r>
      <w:r w:rsidR="00606EBD">
        <w:rPr>
          <w:rFonts w:cs="Arial"/>
          <w:sz w:val="26"/>
          <w:szCs w:val="26"/>
        </w:rPr>
        <w:t>as políticas públicas que afecte</w:t>
      </w:r>
      <w:r w:rsidR="008D1FC3">
        <w:rPr>
          <w:rFonts w:cs="Arial"/>
          <w:sz w:val="26"/>
          <w:szCs w:val="26"/>
        </w:rPr>
        <w:t>n a sus intereses</w:t>
      </w:r>
      <w:r w:rsidR="00D11888" w:rsidRPr="00894B94">
        <w:rPr>
          <w:rStyle w:val="Refdenotaalpie"/>
          <w:rFonts w:cs="Arial"/>
          <w:sz w:val="26"/>
          <w:szCs w:val="26"/>
        </w:rPr>
        <w:footnoteReference w:id="56"/>
      </w:r>
      <w:r w:rsidR="00D11888">
        <w:rPr>
          <w:rFonts w:cs="Arial"/>
          <w:sz w:val="26"/>
          <w:szCs w:val="26"/>
        </w:rPr>
        <w:t>.</w:t>
      </w:r>
      <w:r w:rsidR="00B97A85">
        <w:rPr>
          <w:rFonts w:cs="Arial"/>
          <w:sz w:val="26"/>
          <w:szCs w:val="26"/>
        </w:rPr>
        <w:t xml:space="preserve"> </w:t>
      </w:r>
      <w:r w:rsidR="00AA58CD">
        <w:rPr>
          <w:rFonts w:cs="Arial"/>
          <w:sz w:val="26"/>
          <w:szCs w:val="26"/>
        </w:rPr>
        <w:t>Asimismo</w:t>
      </w:r>
      <w:r w:rsidR="00A70C4E">
        <w:rPr>
          <w:rFonts w:cs="Arial"/>
          <w:sz w:val="26"/>
          <w:szCs w:val="26"/>
        </w:rPr>
        <w:t xml:space="preserve">, en la </w:t>
      </w:r>
      <w:r w:rsidR="00A70C4E" w:rsidRPr="00A70C4E">
        <w:rPr>
          <w:rFonts w:cs="Arial"/>
          <w:b/>
          <w:sz w:val="26"/>
          <w:szCs w:val="26"/>
        </w:rPr>
        <w:t>acción de inconstitucionalidad 84/2016</w:t>
      </w:r>
      <w:r w:rsidR="00A70C4E" w:rsidRPr="00894B94">
        <w:rPr>
          <w:rStyle w:val="Refdenotaalpie"/>
          <w:rFonts w:cs="Arial"/>
          <w:sz w:val="26"/>
          <w:szCs w:val="26"/>
        </w:rPr>
        <w:footnoteReference w:id="57"/>
      </w:r>
      <w:r w:rsidR="00A70C4E">
        <w:rPr>
          <w:rFonts w:cs="Arial"/>
          <w:sz w:val="26"/>
          <w:szCs w:val="26"/>
        </w:rPr>
        <w:t xml:space="preserve"> </w:t>
      </w:r>
      <w:r w:rsidR="00A70C4E">
        <w:rPr>
          <w:rFonts w:cs="Arial"/>
          <w:sz w:val="26"/>
          <w:szCs w:val="26"/>
        </w:rPr>
        <w:lastRenderedPageBreak/>
        <w:t xml:space="preserve">se </w:t>
      </w:r>
      <w:r w:rsidR="006A08DA">
        <w:rPr>
          <w:rFonts w:cs="Arial"/>
          <w:sz w:val="26"/>
          <w:szCs w:val="26"/>
        </w:rPr>
        <w:t>consider</w:t>
      </w:r>
      <w:r w:rsidR="00A70C4E">
        <w:rPr>
          <w:rFonts w:cs="Arial"/>
          <w:sz w:val="26"/>
          <w:szCs w:val="26"/>
        </w:rPr>
        <w:t>ó que</w:t>
      </w:r>
      <w:r w:rsidR="003C0D9F">
        <w:rPr>
          <w:rFonts w:cs="Arial"/>
          <w:sz w:val="26"/>
          <w:szCs w:val="26"/>
        </w:rPr>
        <w:t xml:space="preserve"> existe</w:t>
      </w:r>
      <w:r w:rsidR="000B18E1">
        <w:rPr>
          <w:rFonts w:cs="Arial"/>
          <w:sz w:val="26"/>
          <w:szCs w:val="26"/>
        </w:rPr>
        <w:t xml:space="preserve"> </w:t>
      </w:r>
      <w:r w:rsidR="0003479B">
        <w:rPr>
          <w:rFonts w:cs="Arial"/>
          <w:sz w:val="26"/>
          <w:szCs w:val="26"/>
        </w:rPr>
        <w:t xml:space="preserve">posibilidad de </w:t>
      </w:r>
      <w:r w:rsidR="000B18E1">
        <w:rPr>
          <w:rFonts w:cs="Arial"/>
          <w:sz w:val="26"/>
          <w:szCs w:val="26"/>
        </w:rPr>
        <w:t>afectación directa</w:t>
      </w:r>
      <w:r w:rsidR="00AA58CD">
        <w:rPr>
          <w:rFonts w:cs="Arial"/>
          <w:sz w:val="26"/>
          <w:szCs w:val="26"/>
        </w:rPr>
        <w:t xml:space="preserve"> en el sentido del Convenio 169 de la OIT</w:t>
      </w:r>
      <w:r w:rsidR="000B18E1">
        <w:rPr>
          <w:rFonts w:cs="Arial"/>
          <w:sz w:val="26"/>
          <w:szCs w:val="26"/>
        </w:rPr>
        <w:t xml:space="preserve"> si las </w:t>
      </w:r>
      <w:r w:rsidR="00965387">
        <w:rPr>
          <w:rFonts w:cs="Arial"/>
          <w:sz w:val="26"/>
          <w:szCs w:val="26"/>
        </w:rPr>
        <w:t>leyes</w:t>
      </w:r>
      <w:r w:rsidR="00FF0931">
        <w:rPr>
          <w:rFonts w:cs="Arial"/>
          <w:sz w:val="26"/>
          <w:szCs w:val="26"/>
        </w:rPr>
        <w:t xml:space="preserve"> </w:t>
      </w:r>
      <w:r w:rsidR="00AA58CD">
        <w:rPr>
          <w:rFonts w:cs="Arial"/>
          <w:sz w:val="26"/>
          <w:szCs w:val="26"/>
        </w:rPr>
        <w:t xml:space="preserve">bajo análisis </w:t>
      </w:r>
      <w:r w:rsidR="00FF0931">
        <w:rPr>
          <w:rFonts w:cs="Arial"/>
          <w:sz w:val="26"/>
          <w:szCs w:val="26"/>
        </w:rPr>
        <w:t xml:space="preserve">regulan </w:t>
      </w:r>
      <w:r w:rsidR="000B18E1">
        <w:rPr>
          <w:rFonts w:cs="Arial"/>
          <w:sz w:val="26"/>
          <w:szCs w:val="26"/>
        </w:rPr>
        <w:t>instituciones destinadas</w:t>
      </w:r>
      <w:r w:rsidR="00FF0931">
        <w:rPr>
          <w:rFonts w:cs="Arial"/>
          <w:sz w:val="26"/>
          <w:szCs w:val="26"/>
        </w:rPr>
        <w:t xml:space="preserve"> a atender las necesidades</w:t>
      </w:r>
      <w:r w:rsidR="00F96BF4">
        <w:rPr>
          <w:rFonts w:cs="Arial"/>
          <w:sz w:val="26"/>
          <w:szCs w:val="26"/>
        </w:rPr>
        <w:t xml:space="preserve"> de educación superior</w:t>
      </w:r>
      <w:r w:rsidR="00FF0931">
        <w:rPr>
          <w:rFonts w:cs="Arial"/>
          <w:sz w:val="26"/>
          <w:szCs w:val="26"/>
        </w:rPr>
        <w:t xml:space="preserve"> de los pueblos y comunidades indígenas</w:t>
      </w:r>
      <w:r w:rsidR="00A70C4E" w:rsidRPr="00894B94">
        <w:rPr>
          <w:rStyle w:val="Refdenotaalpie"/>
          <w:rFonts w:cs="Arial"/>
          <w:sz w:val="26"/>
          <w:szCs w:val="26"/>
        </w:rPr>
        <w:footnoteReference w:id="58"/>
      </w:r>
      <w:r w:rsidR="00A70C4E">
        <w:rPr>
          <w:rFonts w:cs="Arial"/>
          <w:sz w:val="26"/>
          <w:szCs w:val="26"/>
        </w:rPr>
        <w:t>.</w:t>
      </w:r>
      <w:r w:rsidR="00875117">
        <w:rPr>
          <w:rFonts w:cs="Arial"/>
          <w:sz w:val="26"/>
          <w:szCs w:val="26"/>
        </w:rPr>
        <w:t xml:space="preserve"> Como puede observarse, la Suprema Corte ha concluido que </w:t>
      </w:r>
      <w:r w:rsidR="002C05B4">
        <w:rPr>
          <w:rFonts w:cs="Arial"/>
          <w:sz w:val="26"/>
          <w:szCs w:val="26"/>
        </w:rPr>
        <w:t>debe</w:t>
      </w:r>
      <w:r w:rsidR="00875117">
        <w:rPr>
          <w:rFonts w:cs="Arial"/>
          <w:sz w:val="26"/>
          <w:szCs w:val="26"/>
        </w:rPr>
        <w:t xml:space="preserve"> se</w:t>
      </w:r>
      <w:r w:rsidR="0060229B">
        <w:rPr>
          <w:rFonts w:cs="Arial"/>
          <w:sz w:val="26"/>
          <w:szCs w:val="26"/>
        </w:rPr>
        <w:t>r consultada</w:t>
      </w:r>
      <w:r w:rsidR="00606EBD">
        <w:rPr>
          <w:rFonts w:cs="Arial"/>
          <w:sz w:val="26"/>
          <w:szCs w:val="26"/>
        </w:rPr>
        <w:t xml:space="preserve"> conforme a los estándares del Convenio</w:t>
      </w:r>
      <w:r w:rsidR="0060229B">
        <w:rPr>
          <w:rFonts w:cs="Arial"/>
          <w:sz w:val="26"/>
          <w:szCs w:val="26"/>
        </w:rPr>
        <w:t xml:space="preserve"> toda </w:t>
      </w:r>
      <w:r w:rsidR="00965387">
        <w:rPr>
          <w:rFonts w:cs="Arial"/>
          <w:sz w:val="26"/>
          <w:szCs w:val="26"/>
        </w:rPr>
        <w:t>norma general</w:t>
      </w:r>
      <w:r w:rsidR="0060229B">
        <w:rPr>
          <w:rFonts w:cs="Arial"/>
          <w:sz w:val="26"/>
          <w:szCs w:val="26"/>
        </w:rPr>
        <w:t xml:space="preserve"> que sea susceptible de afectar</w:t>
      </w:r>
      <w:r w:rsidR="00875117">
        <w:rPr>
          <w:rFonts w:cs="Arial"/>
          <w:sz w:val="26"/>
          <w:szCs w:val="26"/>
        </w:rPr>
        <w:t xml:space="preserve"> a estos grupos de manera especial y diferenciada frente al resto de la población.</w:t>
      </w:r>
    </w:p>
    <w:p w:rsidR="00062D68" w:rsidRPr="00062D68" w:rsidRDefault="00B460DE" w:rsidP="001D7F75">
      <w:pPr>
        <w:pStyle w:val="corte4fondo"/>
        <w:numPr>
          <w:ilvl w:val="0"/>
          <w:numId w:val="1"/>
        </w:numPr>
        <w:tabs>
          <w:tab w:val="clear" w:pos="-3"/>
          <w:tab w:val="left" w:pos="0"/>
        </w:tabs>
        <w:spacing w:after="360" w:line="360" w:lineRule="auto"/>
        <w:ind w:left="0" w:hanging="567"/>
        <w:rPr>
          <w:bCs/>
          <w:sz w:val="26"/>
          <w:szCs w:val="26"/>
          <w:lang w:val="es-MX"/>
        </w:rPr>
      </w:pPr>
      <w:r>
        <w:rPr>
          <w:rFonts w:cs="Arial"/>
          <w:sz w:val="26"/>
          <w:szCs w:val="26"/>
        </w:rPr>
        <w:t>En tercer lugar</w:t>
      </w:r>
      <w:r w:rsidR="00FB1946" w:rsidRPr="00EB31A6">
        <w:rPr>
          <w:rFonts w:cs="Arial"/>
          <w:sz w:val="26"/>
          <w:szCs w:val="26"/>
        </w:rPr>
        <w:t xml:space="preserve">, </w:t>
      </w:r>
      <w:r w:rsidR="009C2DF9" w:rsidRPr="00EB31A6">
        <w:rPr>
          <w:rFonts w:cs="Arial"/>
          <w:sz w:val="26"/>
          <w:szCs w:val="26"/>
        </w:rPr>
        <w:t xml:space="preserve">el Tribunal Pleno ha </w:t>
      </w:r>
      <w:r w:rsidR="006F7457" w:rsidRPr="00EB31A6">
        <w:rPr>
          <w:rFonts w:cs="Arial"/>
          <w:sz w:val="26"/>
          <w:szCs w:val="26"/>
        </w:rPr>
        <w:t>reconocido</w:t>
      </w:r>
      <w:r w:rsidR="00875117" w:rsidRPr="00EB31A6">
        <w:rPr>
          <w:rFonts w:cs="Arial"/>
          <w:sz w:val="26"/>
          <w:szCs w:val="26"/>
        </w:rPr>
        <w:t xml:space="preserve"> </w:t>
      </w:r>
      <w:r w:rsidR="009C2DF9" w:rsidRPr="00EB31A6">
        <w:rPr>
          <w:rFonts w:cs="Arial"/>
          <w:sz w:val="26"/>
          <w:szCs w:val="26"/>
        </w:rPr>
        <w:t>que la afecta</w:t>
      </w:r>
      <w:r w:rsidR="00F51ED6">
        <w:rPr>
          <w:rFonts w:cs="Arial"/>
          <w:sz w:val="26"/>
          <w:szCs w:val="26"/>
        </w:rPr>
        <w:t>ción</w:t>
      </w:r>
      <w:r w:rsidR="009C2DF9" w:rsidRPr="00EB31A6">
        <w:rPr>
          <w:rFonts w:cs="Arial"/>
          <w:sz w:val="26"/>
          <w:szCs w:val="26"/>
        </w:rPr>
        <w:t xml:space="preserve"> directa </w:t>
      </w:r>
      <w:r w:rsidR="005971E1" w:rsidRPr="00EB31A6">
        <w:rPr>
          <w:rFonts w:cs="Arial"/>
          <w:sz w:val="26"/>
          <w:szCs w:val="26"/>
        </w:rPr>
        <w:t xml:space="preserve">a </w:t>
      </w:r>
      <w:r w:rsidR="00A40D53">
        <w:rPr>
          <w:rFonts w:cs="Arial"/>
          <w:sz w:val="26"/>
          <w:szCs w:val="26"/>
        </w:rPr>
        <w:t>los</w:t>
      </w:r>
      <w:r w:rsidR="005971E1" w:rsidRPr="00EB31A6">
        <w:rPr>
          <w:rFonts w:cs="Arial"/>
          <w:sz w:val="26"/>
          <w:szCs w:val="26"/>
        </w:rPr>
        <w:t xml:space="preserve"> </w:t>
      </w:r>
      <w:r w:rsidR="00A40D53">
        <w:rPr>
          <w:rFonts w:cs="Arial"/>
          <w:sz w:val="26"/>
          <w:szCs w:val="26"/>
        </w:rPr>
        <w:t>pueblos y comunidades indígenas y tribales</w:t>
      </w:r>
      <w:r w:rsidR="005971E1" w:rsidRPr="00EB31A6">
        <w:rPr>
          <w:rFonts w:cs="Arial"/>
          <w:sz w:val="26"/>
          <w:szCs w:val="26"/>
        </w:rPr>
        <w:t xml:space="preserve"> a</w:t>
      </w:r>
      <w:r w:rsidR="009C2DF9" w:rsidRPr="00EB31A6">
        <w:rPr>
          <w:rFonts w:cs="Arial"/>
          <w:sz w:val="26"/>
          <w:szCs w:val="26"/>
        </w:rPr>
        <w:t xml:space="preserve"> </w:t>
      </w:r>
      <w:r w:rsidR="006F7457" w:rsidRPr="00EB31A6">
        <w:rPr>
          <w:rFonts w:cs="Arial"/>
          <w:sz w:val="26"/>
          <w:szCs w:val="26"/>
        </w:rPr>
        <w:t xml:space="preserve">la </w:t>
      </w:r>
      <w:r w:rsidR="009C2DF9" w:rsidRPr="00EB31A6">
        <w:rPr>
          <w:rFonts w:cs="Arial"/>
          <w:sz w:val="26"/>
          <w:szCs w:val="26"/>
        </w:rPr>
        <w:t xml:space="preserve">que </w:t>
      </w:r>
      <w:r w:rsidR="002A51DE" w:rsidRPr="00EB31A6">
        <w:rPr>
          <w:rFonts w:cs="Arial"/>
          <w:sz w:val="26"/>
          <w:szCs w:val="26"/>
        </w:rPr>
        <w:t>alude</w:t>
      </w:r>
      <w:r w:rsidR="009C2DF9" w:rsidRPr="00EB31A6">
        <w:rPr>
          <w:rFonts w:cs="Arial"/>
          <w:sz w:val="26"/>
          <w:szCs w:val="26"/>
        </w:rPr>
        <w:t xml:space="preserve"> el artículo 6 del Convenio de la OIT</w:t>
      </w:r>
      <w:r w:rsidR="00726CD0" w:rsidRPr="00EB31A6">
        <w:rPr>
          <w:rFonts w:cs="Arial"/>
          <w:sz w:val="26"/>
          <w:szCs w:val="26"/>
        </w:rPr>
        <w:t>,</w:t>
      </w:r>
      <w:r w:rsidR="009C2DF9" w:rsidRPr="00EB31A6">
        <w:rPr>
          <w:rFonts w:cs="Arial"/>
          <w:sz w:val="26"/>
          <w:szCs w:val="26"/>
        </w:rPr>
        <w:t xml:space="preserve"> y </w:t>
      </w:r>
      <w:r w:rsidR="00F51ED6">
        <w:rPr>
          <w:rFonts w:cs="Arial"/>
          <w:sz w:val="26"/>
          <w:szCs w:val="26"/>
        </w:rPr>
        <w:t xml:space="preserve">cuya mera </w:t>
      </w:r>
      <w:r w:rsidR="003B602B">
        <w:rPr>
          <w:rFonts w:cs="Arial"/>
          <w:sz w:val="26"/>
          <w:szCs w:val="26"/>
        </w:rPr>
        <w:t>pos</w:t>
      </w:r>
      <w:r w:rsidR="00F51ED6">
        <w:rPr>
          <w:rFonts w:cs="Arial"/>
          <w:sz w:val="26"/>
          <w:szCs w:val="26"/>
        </w:rPr>
        <w:t>ibilidad</w:t>
      </w:r>
      <w:r w:rsidR="009C2DF9" w:rsidRPr="00EB31A6">
        <w:rPr>
          <w:rFonts w:cs="Arial"/>
          <w:sz w:val="26"/>
          <w:szCs w:val="26"/>
        </w:rPr>
        <w:t xml:space="preserve"> da lugar a la</w:t>
      </w:r>
      <w:r w:rsidR="00500CA7" w:rsidRPr="00EB31A6">
        <w:rPr>
          <w:rFonts w:cs="Arial"/>
          <w:sz w:val="26"/>
          <w:szCs w:val="26"/>
        </w:rPr>
        <w:t xml:space="preserve"> obligación de</w:t>
      </w:r>
      <w:r w:rsidR="009C2DF9" w:rsidRPr="00EB31A6">
        <w:rPr>
          <w:rFonts w:cs="Arial"/>
          <w:sz w:val="26"/>
          <w:szCs w:val="26"/>
        </w:rPr>
        <w:t xml:space="preserve"> consulta</w:t>
      </w:r>
      <w:r w:rsidR="00500CA7" w:rsidRPr="00EB31A6">
        <w:rPr>
          <w:rFonts w:cs="Arial"/>
          <w:sz w:val="26"/>
          <w:szCs w:val="26"/>
        </w:rPr>
        <w:t>r</w:t>
      </w:r>
      <w:r w:rsidR="005971E1" w:rsidRPr="00EB31A6">
        <w:rPr>
          <w:rFonts w:cs="Arial"/>
          <w:sz w:val="26"/>
          <w:szCs w:val="26"/>
        </w:rPr>
        <w:t>les</w:t>
      </w:r>
      <w:r w:rsidR="00F96BF4" w:rsidRPr="00EB31A6">
        <w:rPr>
          <w:rFonts w:cs="Arial"/>
          <w:sz w:val="26"/>
          <w:szCs w:val="26"/>
        </w:rPr>
        <w:t xml:space="preserve"> una medida legislativa</w:t>
      </w:r>
      <w:r w:rsidR="00726CD0" w:rsidRPr="00EB31A6">
        <w:rPr>
          <w:rFonts w:cs="Arial"/>
          <w:sz w:val="26"/>
          <w:szCs w:val="26"/>
        </w:rPr>
        <w:t>,</w:t>
      </w:r>
      <w:r w:rsidR="009C2DF9" w:rsidRPr="00EB31A6">
        <w:rPr>
          <w:rFonts w:cs="Arial"/>
          <w:sz w:val="26"/>
          <w:szCs w:val="26"/>
        </w:rPr>
        <w:t xml:space="preserve"> no se refiere </w:t>
      </w:r>
      <w:r w:rsidR="005971E1" w:rsidRPr="00EB31A6">
        <w:rPr>
          <w:rFonts w:cs="Arial"/>
          <w:sz w:val="26"/>
          <w:szCs w:val="26"/>
        </w:rPr>
        <w:t>exclusivamente</w:t>
      </w:r>
      <w:r w:rsidR="009C2DF9" w:rsidRPr="00EB31A6">
        <w:rPr>
          <w:rFonts w:cs="Arial"/>
          <w:sz w:val="26"/>
          <w:szCs w:val="26"/>
        </w:rPr>
        <w:t xml:space="preserve"> a </w:t>
      </w:r>
      <w:r w:rsidR="00F51ED6">
        <w:rPr>
          <w:rFonts w:cs="Arial"/>
          <w:sz w:val="26"/>
          <w:szCs w:val="26"/>
        </w:rPr>
        <w:t xml:space="preserve">la </w:t>
      </w:r>
      <w:r w:rsidR="002A51DE" w:rsidRPr="00EB31A6">
        <w:rPr>
          <w:rFonts w:cs="Arial"/>
          <w:sz w:val="26"/>
          <w:szCs w:val="26"/>
        </w:rPr>
        <w:t>genera</w:t>
      </w:r>
      <w:r w:rsidR="003B602B">
        <w:rPr>
          <w:rFonts w:cs="Arial"/>
          <w:sz w:val="26"/>
          <w:szCs w:val="26"/>
        </w:rPr>
        <w:t>ción de</w:t>
      </w:r>
      <w:r w:rsidR="009C2DF9" w:rsidRPr="00EB31A6">
        <w:rPr>
          <w:rFonts w:cs="Arial"/>
          <w:sz w:val="26"/>
          <w:szCs w:val="26"/>
        </w:rPr>
        <w:t xml:space="preserve"> </w:t>
      </w:r>
      <w:r w:rsidR="00500CA7" w:rsidRPr="00EB31A6">
        <w:rPr>
          <w:rFonts w:cs="Arial"/>
          <w:sz w:val="26"/>
          <w:szCs w:val="26"/>
        </w:rPr>
        <w:t>algú</w:t>
      </w:r>
      <w:r w:rsidR="009C2DF9" w:rsidRPr="00EB31A6">
        <w:rPr>
          <w:rFonts w:cs="Arial"/>
          <w:sz w:val="26"/>
          <w:szCs w:val="26"/>
        </w:rPr>
        <w:t>n perjuicio</w:t>
      </w:r>
      <w:r w:rsidR="00AA58CD" w:rsidRPr="00EB31A6">
        <w:rPr>
          <w:rFonts w:cs="Arial"/>
          <w:sz w:val="26"/>
          <w:szCs w:val="26"/>
        </w:rPr>
        <w:t xml:space="preserve">. </w:t>
      </w:r>
      <w:r w:rsidR="00471D5C" w:rsidRPr="00EB31A6">
        <w:rPr>
          <w:rFonts w:cs="Arial"/>
          <w:sz w:val="26"/>
          <w:szCs w:val="26"/>
        </w:rPr>
        <w:t>P</w:t>
      </w:r>
      <w:r w:rsidR="005971E1" w:rsidRPr="00EB31A6">
        <w:rPr>
          <w:rFonts w:cs="Arial"/>
          <w:sz w:val="26"/>
          <w:szCs w:val="26"/>
        </w:rPr>
        <w:t>or ejemplo,</w:t>
      </w:r>
      <w:r w:rsidR="006F7457" w:rsidRPr="00EB31A6">
        <w:rPr>
          <w:rFonts w:cs="Arial"/>
          <w:sz w:val="26"/>
          <w:szCs w:val="26"/>
        </w:rPr>
        <w:t xml:space="preserve"> en</w:t>
      </w:r>
      <w:r w:rsidR="00EB31A6" w:rsidRPr="00EB31A6">
        <w:rPr>
          <w:rFonts w:cs="Arial"/>
          <w:sz w:val="26"/>
          <w:szCs w:val="26"/>
        </w:rPr>
        <w:t xml:space="preserve"> la</w:t>
      </w:r>
      <w:r w:rsidR="006F7457" w:rsidRPr="00EB31A6">
        <w:rPr>
          <w:rFonts w:cs="Arial"/>
          <w:sz w:val="26"/>
          <w:szCs w:val="26"/>
        </w:rPr>
        <w:t xml:space="preserve"> </w:t>
      </w:r>
      <w:r w:rsidR="006F7457" w:rsidRPr="00EB31A6">
        <w:rPr>
          <w:rFonts w:cs="Arial"/>
          <w:b/>
          <w:sz w:val="26"/>
          <w:szCs w:val="26"/>
        </w:rPr>
        <w:t>acción de inconstitucionalidad 151/2017</w:t>
      </w:r>
      <w:r w:rsidR="00722096" w:rsidRPr="00894B94">
        <w:rPr>
          <w:rStyle w:val="Refdenotaalpie"/>
          <w:rFonts w:cs="Arial"/>
          <w:sz w:val="26"/>
          <w:szCs w:val="26"/>
        </w:rPr>
        <w:footnoteReference w:id="59"/>
      </w:r>
      <w:r w:rsidR="006F7457" w:rsidRPr="00EB31A6">
        <w:rPr>
          <w:rFonts w:cs="Arial"/>
          <w:sz w:val="26"/>
          <w:szCs w:val="26"/>
        </w:rPr>
        <w:t xml:space="preserve"> se </w:t>
      </w:r>
      <w:r w:rsidR="00471D5C" w:rsidRPr="00EB31A6">
        <w:rPr>
          <w:rFonts w:cs="Arial"/>
          <w:sz w:val="26"/>
          <w:szCs w:val="26"/>
        </w:rPr>
        <w:t>declaró la invalidez</w:t>
      </w:r>
      <w:r w:rsidR="006F7457" w:rsidRPr="00EB31A6">
        <w:rPr>
          <w:rFonts w:cs="Arial"/>
          <w:sz w:val="26"/>
          <w:szCs w:val="26"/>
        </w:rPr>
        <w:t xml:space="preserve"> </w:t>
      </w:r>
      <w:r w:rsidR="00471D5C" w:rsidRPr="00EB31A6">
        <w:rPr>
          <w:rFonts w:cs="Arial"/>
          <w:sz w:val="26"/>
          <w:szCs w:val="26"/>
        </w:rPr>
        <w:t xml:space="preserve">de </w:t>
      </w:r>
      <w:r w:rsidR="00E617BC" w:rsidRPr="00EB31A6">
        <w:rPr>
          <w:rFonts w:cs="Arial"/>
          <w:sz w:val="26"/>
          <w:szCs w:val="26"/>
        </w:rPr>
        <w:t xml:space="preserve">diversas </w:t>
      </w:r>
      <w:r w:rsidR="006F7457" w:rsidRPr="00EB31A6">
        <w:rPr>
          <w:rFonts w:cs="Arial"/>
          <w:sz w:val="26"/>
          <w:szCs w:val="26"/>
        </w:rPr>
        <w:t xml:space="preserve">normas </w:t>
      </w:r>
      <w:r w:rsidR="00A40D53">
        <w:rPr>
          <w:rFonts w:cs="Arial"/>
          <w:sz w:val="26"/>
          <w:szCs w:val="26"/>
        </w:rPr>
        <w:t xml:space="preserve">no consultadas </w:t>
      </w:r>
      <w:r w:rsidR="006F7457" w:rsidRPr="00EB31A6">
        <w:rPr>
          <w:rFonts w:cs="Arial"/>
          <w:sz w:val="26"/>
          <w:szCs w:val="26"/>
        </w:rPr>
        <w:t xml:space="preserve">cuyo propósito manifiesto era </w:t>
      </w:r>
      <w:r w:rsidR="00722096" w:rsidRPr="00EB31A6">
        <w:rPr>
          <w:rFonts w:cs="Arial"/>
          <w:sz w:val="26"/>
          <w:szCs w:val="26"/>
        </w:rPr>
        <w:t>promover el rescate y la conservación de la cultura</w:t>
      </w:r>
      <w:r w:rsidR="00E617BC" w:rsidRPr="00EB31A6">
        <w:rPr>
          <w:rFonts w:cs="Arial"/>
          <w:sz w:val="26"/>
          <w:szCs w:val="26"/>
        </w:rPr>
        <w:t xml:space="preserve"> de</w:t>
      </w:r>
      <w:r w:rsidR="00AE3D6D" w:rsidRPr="00EB31A6">
        <w:rPr>
          <w:rFonts w:cs="Arial"/>
          <w:sz w:val="26"/>
          <w:szCs w:val="26"/>
        </w:rPr>
        <w:t xml:space="preserve"> un</w:t>
      </w:r>
      <w:r w:rsidR="00E617BC" w:rsidRPr="00EB31A6">
        <w:rPr>
          <w:rFonts w:cs="Arial"/>
          <w:sz w:val="26"/>
          <w:szCs w:val="26"/>
        </w:rPr>
        <w:t xml:space="preserve"> grupo indígena</w:t>
      </w:r>
      <w:r w:rsidR="00722096" w:rsidRPr="00EB31A6">
        <w:rPr>
          <w:rFonts w:cs="Arial"/>
          <w:sz w:val="26"/>
          <w:szCs w:val="26"/>
        </w:rPr>
        <w:t xml:space="preserve"> </w:t>
      </w:r>
      <w:r w:rsidR="00AE3D6D" w:rsidRPr="00EB31A6">
        <w:rPr>
          <w:rFonts w:cs="Arial"/>
          <w:sz w:val="26"/>
          <w:szCs w:val="26"/>
        </w:rPr>
        <w:t>en</w:t>
      </w:r>
      <w:r w:rsidR="00722096" w:rsidRPr="00EB31A6">
        <w:rPr>
          <w:rFonts w:cs="Arial"/>
          <w:sz w:val="26"/>
          <w:szCs w:val="26"/>
        </w:rPr>
        <w:t xml:space="preserve"> una entidad federativa</w:t>
      </w:r>
      <w:r w:rsidR="00722096" w:rsidRPr="00894B94">
        <w:rPr>
          <w:rStyle w:val="Refdenotaalpie"/>
          <w:rFonts w:cs="Arial"/>
          <w:sz w:val="26"/>
          <w:szCs w:val="26"/>
        </w:rPr>
        <w:footnoteReference w:id="60"/>
      </w:r>
      <w:r w:rsidR="006F7457" w:rsidRPr="00EB31A6">
        <w:rPr>
          <w:rFonts w:cs="Arial"/>
          <w:sz w:val="26"/>
          <w:szCs w:val="26"/>
        </w:rPr>
        <w:t xml:space="preserve">. </w:t>
      </w:r>
      <w:r w:rsidR="00A40D53">
        <w:rPr>
          <w:rFonts w:cs="Arial"/>
          <w:sz w:val="26"/>
          <w:szCs w:val="26"/>
        </w:rPr>
        <w:t>Asimismo, t</w:t>
      </w:r>
      <w:r w:rsidR="00AA40AF" w:rsidRPr="00EB31A6">
        <w:rPr>
          <w:rFonts w:cs="Arial"/>
          <w:sz w:val="26"/>
          <w:szCs w:val="26"/>
        </w:rPr>
        <w:t>anto</w:t>
      </w:r>
      <w:r w:rsidR="00D11888" w:rsidRPr="00EB31A6">
        <w:rPr>
          <w:rFonts w:cs="Arial"/>
          <w:sz w:val="26"/>
          <w:szCs w:val="26"/>
        </w:rPr>
        <w:t xml:space="preserve"> en</w:t>
      </w:r>
      <w:r w:rsidR="00AA40AF" w:rsidRPr="00EB31A6">
        <w:rPr>
          <w:rFonts w:cs="Arial"/>
          <w:sz w:val="26"/>
          <w:szCs w:val="26"/>
        </w:rPr>
        <w:t xml:space="preserve"> la </w:t>
      </w:r>
      <w:r w:rsidR="00AA40AF" w:rsidRPr="00EB31A6">
        <w:rPr>
          <w:rFonts w:cs="Arial"/>
          <w:b/>
          <w:sz w:val="26"/>
          <w:szCs w:val="26"/>
        </w:rPr>
        <w:t>acción de inconstitucionalidad</w:t>
      </w:r>
      <w:r w:rsidR="00D11888" w:rsidRPr="00EB31A6">
        <w:rPr>
          <w:rFonts w:cs="Arial"/>
          <w:b/>
          <w:sz w:val="26"/>
          <w:szCs w:val="26"/>
        </w:rPr>
        <w:t xml:space="preserve"> </w:t>
      </w:r>
      <w:r w:rsidR="00B97A85" w:rsidRPr="00EB31A6">
        <w:rPr>
          <w:rFonts w:cs="Arial"/>
          <w:b/>
          <w:sz w:val="26"/>
          <w:szCs w:val="26"/>
        </w:rPr>
        <w:t>108</w:t>
      </w:r>
      <w:r w:rsidR="00AA40AF" w:rsidRPr="00EB31A6">
        <w:rPr>
          <w:rFonts w:cs="Arial"/>
          <w:b/>
          <w:sz w:val="26"/>
          <w:szCs w:val="26"/>
        </w:rPr>
        <w:t>/2019</w:t>
      </w:r>
      <w:r w:rsidR="00B97A85" w:rsidRPr="00EB31A6">
        <w:rPr>
          <w:rFonts w:cs="Arial"/>
          <w:b/>
          <w:sz w:val="26"/>
          <w:szCs w:val="26"/>
        </w:rPr>
        <w:t xml:space="preserve"> y</w:t>
      </w:r>
      <w:r w:rsidR="00AA40AF" w:rsidRPr="00EB31A6">
        <w:rPr>
          <w:rFonts w:cs="Arial"/>
          <w:b/>
          <w:sz w:val="26"/>
          <w:szCs w:val="26"/>
        </w:rPr>
        <w:t xml:space="preserve"> su acumulada</w:t>
      </w:r>
      <w:r w:rsidR="006A08DA" w:rsidRPr="00894B94">
        <w:rPr>
          <w:rStyle w:val="Refdenotaalpie"/>
          <w:rFonts w:cs="Arial"/>
          <w:sz w:val="26"/>
          <w:szCs w:val="26"/>
        </w:rPr>
        <w:footnoteReference w:id="61"/>
      </w:r>
      <w:r w:rsidR="00AA40AF" w:rsidRPr="00EB31A6">
        <w:rPr>
          <w:rFonts w:cs="Arial"/>
          <w:sz w:val="26"/>
          <w:szCs w:val="26"/>
        </w:rPr>
        <w:t xml:space="preserve"> como en la </w:t>
      </w:r>
      <w:r w:rsidR="00AA40AF" w:rsidRPr="00EB31A6">
        <w:rPr>
          <w:rFonts w:cs="Arial"/>
          <w:b/>
          <w:sz w:val="26"/>
          <w:szCs w:val="26"/>
        </w:rPr>
        <w:t>acción de inconstitucionalidad</w:t>
      </w:r>
      <w:r w:rsidR="00B97A85" w:rsidRPr="00EB31A6">
        <w:rPr>
          <w:rFonts w:cs="Arial"/>
          <w:b/>
          <w:sz w:val="26"/>
          <w:szCs w:val="26"/>
        </w:rPr>
        <w:t xml:space="preserve"> 116</w:t>
      </w:r>
      <w:r w:rsidR="00AA40AF" w:rsidRPr="00EB31A6">
        <w:rPr>
          <w:rFonts w:cs="Arial"/>
          <w:b/>
          <w:sz w:val="26"/>
          <w:szCs w:val="26"/>
        </w:rPr>
        <w:t>/2019</w:t>
      </w:r>
      <w:r w:rsidR="009C2DF9" w:rsidRPr="00EB31A6">
        <w:rPr>
          <w:rFonts w:cs="Arial"/>
          <w:b/>
          <w:sz w:val="26"/>
          <w:szCs w:val="26"/>
        </w:rPr>
        <w:t xml:space="preserve"> y sus acumuladas</w:t>
      </w:r>
      <w:r w:rsidR="006A08DA" w:rsidRPr="00894B94">
        <w:rPr>
          <w:rStyle w:val="Refdenotaalpie"/>
          <w:rFonts w:cs="Arial"/>
          <w:sz w:val="26"/>
          <w:szCs w:val="26"/>
        </w:rPr>
        <w:footnoteReference w:id="62"/>
      </w:r>
      <w:r w:rsidR="000E10D9" w:rsidRPr="00EB31A6">
        <w:rPr>
          <w:rFonts w:cs="Arial"/>
          <w:sz w:val="26"/>
          <w:szCs w:val="26"/>
        </w:rPr>
        <w:t xml:space="preserve"> se </w:t>
      </w:r>
      <w:r w:rsidR="009743BC" w:rsidRPr="00EB31A6">
        <w:rPr>
          <w:rFonts w:cs="Arial"/>
          <w:sz w:val="26"/>
          <w:szCs w:val="26"/>
        </w:rPr>
        <w:t>declar</w:t>
      </w:r>
      <w:r w:rsidR="00A40D53">
        <w:rPr>
          <w:rFonts w:cs="Arial"/>
          <w:sz w:val="26"/>
          <w:szCs w:val="26"/>
        </w:rPr>
        <w:t>ó</w:t>
      </w:r>
      <w:r w:rsidR="009743BC" w:rsidRPr="00EB31A6">
        <w:rPr>
          <w:rFonts w:cs="Arial"/>
          <w:sz w:val="26"/>
          <w:szCs w:val="26"/>
        </w:rPr>
        <w:t xml:space="preserve"> la invalidez de</w:t>
      </w:r>
      <w:r w:rsidR="005C07A0">
        <w:rPr>
          <w:rFonts w:cs="Arial"/>
          <w:sz w:val="26"/>
          <w:szCs w:val="26"/>
        </w:rPr>
        <w:t xml:space="preserve"> las </w:t>
      </w:r>
      <w:r w:rsidR="00AE3D6D" w:rsidRPr="00EB31A6">
        <w:rPr>
          <w:rFonts w:cs="Arial"/>
          <w:sz w:val="26"/>
          <w:szCs w:val="26"/>
        </w:rPr>
        <w:t>disposiciones</w:t>
      </w:r>
      <w:r w:rsidR="005C07A0">
        <w:rPr>
          <w:rFonts w:cs="Arial"/>
          <w:sz w:val="26"/>
          <w:szCs w:val="26"/>
        </w:rPr>
        <w:t xml:space="preserve"> impugnadas</w:t>
      </w:r>
      <w:r w:rsidR="00AE3D6D" w:rsidRPr="00EB31A6">
        <w:rPr>
          <w:rFonts w:cs="Arial"/>
          <w:sz w:val="26"/>
          <w:szCs w:val="26"/>
        </w:rPr>
        <w:t xml:space="preserve"> </w:t>
      </w:r>
      <w:r w:rsidR="006848E8">
        <w:rPr>
          <w:rFonts w:cs="Arial"/>
          <w:sz w:val="26"/>
          <w:szCs w:val="26"/>
        </w:rPr>
        <w:t>por</w:t>
      </w:r>
      <w:r w:rsidR="00965387">
        <w:rPr>
          <w:rFonts w:cs="Arial"/>
          <w:sz w:val="26"/>
          <w:szCs w:val="26"/>
        </w:rPr>
        <w:t xml:space="preserve">que </w:t>
      </w:r>
      <w:r w:rsidR="00C24EFD">
        <w:rPr>
          <w:rFonts w:cs="Arial"/>
          <w:sz w:val="26"/>
          <w:szCs w:val="26"/>
        </w:rPr>
        <w:t>no se</w:t>
      </w:r>
      <w:r w:rsidR="00965387">
        <w:rPr>
          <w:rFonts w:cs="Arial"/>
          <w:sz w:val="26"/>
          <w:szCs w:val="26"/>
        </w:rPr>
        <w:t xml:space="preserve"> consulta</w:t>
      </w:r>
      <w:r w:rsidR="00C24EFD">
        <w:rPr>
          <w:rFonts w:cs="Arial"/>
          <w:sz w:val="26"/>
          <w:szCs w:val="26"/>
        </w:rPr>
        <w:t>ron</w:t>
      </w:r>
      <w:r w:rsidR="00965387">
        <w:rPr>
          <w:rFonts w:cs="Arial"/>
          <w:sz w:val="26"/>
          <w:szCs w:val="26"/>
        </w:rPr>
        <w:t xml:space="preserve"> </w:t>
      </w:r>
      <w:r w:rsidR="00C24EFD">
        <w:rPr>
          <w:rFonts w:cs="Arial"/>
          <w:sz w:val="26"/>
          <w:szCs w:val="26"/>
        </w:rPr>
        <w:t>de manera</w:t>
      </w:r>
      <w:r w:rsidR="00965387">
        <w:rPr>
          <w:rFonts w:cs="Arial"/>
          <w:sz w:val="26"/>
          <w:szCs w:val="26"/>
        </w:rPr>
        <w:t xml:space="preserve"> adecuada</w:t>
      </w:r>
      <w:r w:rsidR="006848E8">
        <w:rPr>
          <w:rFonts w:cs="Arial"/>
          <w:sz w:val="26"/>
          <w:szCs w:val="26"/>
        </w:rPr>
        <w:t>,</w:t>
      </w:r>
      <w:r w:rsidR="00965387">
        <w:rPr>
          <w:rFonts w:cs="Arial"/>
          <w:sz w:val="26"/>
          <w:szCs w:val="26"/>
        </w:rPr>
        <w:t xml:space="preserve"> a pesar de </w:t>
      </w:r>
      <w:r w:rsidR="008912F9" w:rsidRPr="00EB31A6">
        <w:rPr>
          <w:rFonts w:cs="Arial"/>
          <w:sz w:val="26"/>
          <w:szCs w:val="26"/>
        </w:rPr>
        <w:t>que</w:t>
      </w:r>
      <w:r w:rsidR="00965387">
        <w:rPr>
          <w:rFonts w:cs="Arial"/>
          <w:sz w:val="26"/>
          <w:szCs w:val="26"/>
        </w:rPr>
        <w:t xml:space="preserve"> </w:t>
      </w:r>
      <w:r w:rsidR="00965387">
        <w:rPr>
          <w:rFonts w:cs="Arial"/>
          <w:sz w:val="26"/>
          <w:szCs w:val="26"/>
        </w:rPr>
        <w:lastRenderedPageBreak/>
        <w:t>tales normas</w:t>
      </w:r>
      <w:r w:rsidR="008912F9" w:rsidRPr="00EB31A6">
        <w:rPr>
          <w:rFonts w:cs="Arial"/>
          <w:sz w:val="26"/>
          <w:szCs w:val="26"/>
        </w:rPr>
        <w:t xml:space="preserve"> </w:t>
      </w:r>
      <w:r w:rsidR="00715379">
        <w:rPr>
          <w:rFonts w:cs="Arial"/>
          <w:sz w:val="26"/>
          <w:szCs w:val="26"/>
        </w:rPr>
        <w:t>abiertamente</w:t>
      </w:r>
      <w:r w:rsidR="00715379" w:rsidRPr="00EB31A6">
        <w:rPr>
          <w:rFonts w:cs="Arial"/>
          <w:sz w:val="26"/>
          <w:szCs w:val="26"/>
        </w:rPr>
        <w:t xml:space="preserve"> </w:t>
      </w:r>
      <w:r w:rsidR="008912F9" w:rsidRPr="00EB31A6">
        <w:rPr>
          <w:rFonts w:cs="Arial"/>
          <w:sz w:val="26"/>
          <w:szCs w:val="26"/>
        </w:rPr>
        <w:t xml:space="preserve">pretendían </w:t>
      </w:r>
      <w:r w:rsidR="00BD2921" w:rsidRPr="00EB31A6">
        <w:rPr>
          <w:rFonts w:cs="Arial"/>
          <w:sz w:val="26"/>
          <w:szCs w:val="26"/>
        </w:rPr>
        <w:t>garantizar</w:t>
      </w:r>
      <w:r w:rsidR="008912F9" w:rsidRPr="00EB31A6">
        <w:rPr>
          <w:rFonts w:cs="Arial"/>
          <w:sz w:val="26"/>
          <w:szCs w:val="26"/>
        </w:rPr>
        <w:t xml:space="preserve"> </w:t>
      </w:r>
      <w:r w:rsidR="00AE3D6D" w:rsidRPr="00EB31A6">
        <w:rPr>
          <w:rFonts w:cs="Arial"/>
          <w:sz w:val="26"/>
          <w:szCs w:val="26"/>
        </w:rPr>
        <w:t xml:space="preserve">el derecho de los pueblos y comunidades indígenas </w:t>
      </w:r>
      <w:r w:rsidR="009743BC" w:rsidRPr="00EB31A6">
        <w:rPr>
          <w:rFonts w:cs="Arial"/>
          <w:sz w:val="26"/>
          <w:szCs w:val="26"/>
        </w:rPr>
        <w:t xml:space="preserve">de una entidad federativa </w:t>
      </w:r>
      <w:r w:rsidR="00AE3D6D" w:rsidRPr="00EB31A6">
        <w:rPr>
          <w:rFonts w:cs="Arial"/>
          <w:sz w:val="26"/>
          <w:szCs w:val="26"/>
        </w:rPr>
        <w:t>a elegir dirigentes conforme a sus prácticas tradicionales</w:t>
      </w:r>
      <w:r w:rsidR="00884C7E" w:rsidRPr="00894B94">
        <w:rPr>
          <w:rStyle w:val="Refdenotaalpie"/>
          <w:rFonts w:cs="Arial"/>
          <w:sz w:val="26"/>
          <w:szCs w:val="26"/>
        </w:rPr>
        <w:footnoteReference w:id="63"/>
      </w:r>
      <w:r w:rsidR="00F96BF4" w:rsidRPr="00EB31A6">
        <w:rPr>
          <w:rFonts w:cs="Arial"/>
          <w:sz w:val="26"/>
          <w:szCs w:val="26"/>
        </w:rPr>
        <w:t xml:space="preserve">. </w:t>
      </w:r>
      <w:r w:rsidR="007B2A4D" w:rsidRPr="00EB31A6">
        <w:rPr>
          <w:rFonts w:cs="Arial"/>
          <w:sz w:val="26"/>
          <w:szCs w:val="26"/>
        </w:rPr>
        <w:t xml:space="preserve">Finalmente, en la </w:t>
      </w:r>
      <w:r w:rsidR="007B2A4D" w:rsidRPr="00EB31A6">
        <w:rPr>
          <w:rFonts w:cs="Arial"/>
          <w:b/>
          <w:sz w:val="26"/>
          <w:szCs w:val="26"/>
        </w:rPr>
        <w:t>acción de inconstitucionalidad 81/2018</w:t>
      </w:r>
      <w:r w:rsidR="007B2A4D" w:rsidRPr="00894B94">
        <w:rPr>
          <w:rStyle w:val="Refdenotaalpie"/>
          <w:rFonts w:cs="Arial"/>
          <w:sz w:val="26"/>
          <w:szCs w:val="26"/>
          <w:lang w:val="es-MX"/>
        </w:rPr>
        <w:footnoteReference w:id="64"/>
      </w:r>
      <w:r w:rsidR="009743BC" w:rsidRPr="00EB31A6">
        <w:rPr>
          <w:rFonts w:cs="Arial"/>
          <w:sz w:val="26"/>
          <w:szCs w:val="26"/>
        </w:rPr>
        <w:t xml:space="preserve"> </w:t>
      </w:r>
      <w:r w:rsidR="00C81881" w:rsidRPr="00EB31A6">
        <w:rPr>
          <w:rFonts w:cs="Arial"/>
          <w:sz w:val="26"/>
          <w:szCs w:val="26"/>
        </w:rPr>
        <w:t>se invalidaron</w:t>
      </w:r>
      <w:r w:rsidR="002C05B4">
        <w:rPr>
          <w:rFonts w:cs="Arial"/>
          <w:sz w:val="26"/>
          <w:szCs w:val="26"/>
        </w:rPr>
        <w:t xml:space="preserve"> </w:t>
      </w:r>
      <w:r w:rsidR="00C24EFD">
        <w:rPr>
          <w:rFonts w:cs="Arial"/>
          <w:sz w:val="26"/>
          <w:szCs w:val="26"/>
        </w:rPr>
        <w:t xml:space="preserve">también </w:t>
      </w:r>
      <w:r w:rsidR="002C05B4">
        <w:rPr>
          <w:rFonts w:cs="Arial"/>
          <w:sz w:val="26"/>
          <w:szCs w:val="26"/>
        </w:rPr>
        <w:t>por consulta deficiente</w:t>
      </w:r>
      <w:r w:rsidR="00C24EFD">
        <w:rPr>
          <w:rFonts w:cs="Arial"/>
          <w:sz w:val="26"/>
          <w:szCs w:val="26"/>
        </w:rPr>
        <w:t xml:space="preserve"> diversas</w:t>
      </w:r>
      <w:r w:rsidR="002C05B4">
        <w:rPr>
          <w:rFonts w:cs="Arial"/>
          <w:sz w:val="26"/>
          <w:szCs w:val="26"/>
        </w:rPr>
        <w:t xml:space="preserve"> </w:t>
      </w:r>
      <w:r w:rsidR="00965387">
        <w:rPr>
          <w:rFonts w:cs="Arial"/>
          <w:sz w:val="26"/>
          <w:szCs w:val="26"/>
        </w:rPr>
        <w:t>disposiciones</w:t>
      </w:r>
      <w:r w:rsidR="00C81881" w:rsidRPr="00EB31A6">
        <w:rPr>
          <w:rFonts w:cs="Arial"/>
          <w:sz w:val="26"/>
          <w:szCs w:val="26"/>
        </w:rPr>
        <w:t xml:space="preserve"> </w:t>
      </w:r>
      <w:r w:rsidR="00EB31A6">
        <w:rPr>
          <w:rFonts w:cs="Arial"/>
          <w:sz w:val="26"/>
          <w:szCs w:val="26"/>
        </w:rPr>
        <w:t xml:space="preserve">cuyo </w:t>
      </w:r>
      <w:r w:rsidR="001D2215">
        <w:rPr>
          <w:rFonts w:cs="Arial"/>
          <w:sz w:val="26"/>
          <w:szCs w:val="26"/>
        </w:rPr>
        <w:t>objetivo</w:t>
      </w:r>
      <w:r w:rsidR="00EB31A6">
        <w:rPr>
          <w:rFonts w:cs="Arial"/>
          <w:sz w:val="26"/>
          <w:szCs w:val="26"/>
        </w:rPr>
        <w:t xml:space="preserve"> </w:t>
      </w:r>
      <w:r w:rsidR="009F61AE">
        <w:rPr>
          <w:rFonts w:cs="Arial"/>
          <w:sz w:val="26"/>
          <w:szCs w:val="26"/>
        </w:rPr>
        <w:t xml:space="preserve">explícito </w:t>
      </w:r>
      <w:r w:rsidR="00EB31A6">
        <w:rPr>
          <w:rFonts w:cs="Arial"/>
          <w:sz w:val="26"/>
          <w:szCs w:val="26"/>
        </w:rPr>
        <w:t>era</w:t>
      </w:r>
      <w:r w:rsidR="009743BC" w:rsidRPr="00EB31A6">
        <w:rPr>
          <w:rFonts w:cs="Arial"/>
          <w:sz w:val="26"/>
          <w:szCs w:val="26"/>
        </w:rPr>
        <w:t xml:space="preserve"> elevar la calidad de vida</w:t>
      </w:r>
      <w:r w:rsidR="00C81881" w:rsidRPr="00EB31A6">
        <w:rPr>
          <w:rFonts w:cs="Arial"/>
          <w:sz w:val="26"/>
          <w:szCs w:val="26"/>
        </w:rPr>
        <w:t xml:space="preserve"> de los pueblos indígenas y las comunidades afro</w:t>
      </w:r>
      <w:r w:rsidR="00EB31A6">
        <w:rPr>
          <w:rFonts w:cs="Arial"/>
          <w:sz w:val="26"/>
          <w:szCs w:val="26"/>
        </w:rPr>
        <w:t>descendientes de la entidad</w:t>
      </w:r>
      <w:r w:rsidR="00A40D53">
        <w:rPr>
          <w:rFonts w:cs="Arial"/>
          <w:sz w:val="26"/>
          <w:szCs w:val="26"/>
        </w:rPr>
        <w:t xml:space="preserve"> federativa respectiva</w:t>
      </w:r>
      <w:r w:rsidR="00471D5C" w:rsidRPr="00894B94">
        <w:rPr>
          <w:rStyle w:val="Refdenotaalpie"/>
          <w:rFonts w:cs="Arial"/>
          <w:sz w:val="26"/>
          <w:szCs w:val="26"/>
          <w:lang w:val="es-MX"/>
        </w:rPr>
        <w:footnoteReference w:id="65"/>
      </w:r>
      <w:r w:rsidR="00471D5C" w:rsidRPr="00EB31A6">
        <w:rPr>
          <w:rFonts w:cs="Arial"/>
          <w:sz w:val="26"/>
          <w:szCs w:val="26"/>
        </w:rPr>
        <w:t>.</w:t>
      </w:r>
      <w:r w:rsidR="00062D68">
        <w:rPr>
          <w:rFonts w:cs="Arial"/>
          <w:sz w:val="26"/>
          <w:szCs w:val="26"/>
        </w:rPr>
        <w:t xml:space="preserve"> </w:t>
      </w:r>
    </w:p>
    <w:p w:rsidR="00DD41A9" w:rsidRPr="00302CE2" w:rsidRDefault="00062D68" w:rsidP="00302CE2">
      <w:pPr>
        <w:pStyle w:val="corte4fondo"/>
        <w:numPr>
          <w:ilvl w:val="0"/>
          <w:numId w:val="1"/>
        </w:numPr>
        <w:tabs>
          <w:tab w:val="clear" w:pos="-3"/>
          <w:tab w:val="left" w:pos="0"/>
        </w:tabs>
        <w:spacing w:after="360" w:line="360" w:lineRule="auto"/>
        <w:ind w:left="0" w:hanging="567"/>
        <w:rPr>
          <w:bCs/>
          <w:sz w:val="26"/>
          <w:szCs w:val="26"/>
          <w:lang w:val="es-MX"/>
        </w:rPr>
      </w:pPr>
      <w:r w:rsidRPr="00EB31A6">
        <w:rPr>
          <w:rFonts w:cs="Arial"/>
          <w:sz w:val="26"/>
          <w:szCs w:val="26"/>
        </w:rPr>
        <w:t>En</w:t>
      </w:r>
      <w:r w:rsidR="00DD5FC2">
        <w:rPr>
          <w:rFonts w:cs="Arial"/>
          <w:sz w:val="26"/>
          <w:szCs w:val="26"/>
        </w:rPr>
        <w:t xml:space="preserve"> </w:t>
      </w:r>
      <w:r w:rsidRPr="00EB31A6">
        <w:rPr>
          <w:rFonts w:cs="Arial"/>
          <w:sz w:val="26"/>
          <w:szCs w:val="26"/>
        </w:rPr>
        <w:t xml:space="preserve">estos </w:t>
      </w:r>
      <w:r>
        <w:rPr>
          <w:rFonts w:cs="Arial"/>
          <w:sz w:val="26"/>
          <w:szCs w:val="26"/>
        </w:rPr>
        <w:t>casos</w:t>
      </w:r>
      <w:r w:rsidRPr="00EB31A6">
        <w:rPr>
          <w:rFonts w:cs="Arial"/>
          <w:sz w:val="26"/>
          <w:szCs w:val="26"/>
        </w:rPr>
        <w:t xml:space="preserve"> </w:t>
      </w:r>
      <w:r>
        <w:rPr>
          <w:rFonts w:cs="Arial"/>
          <w:sz w:val="26"/>
          <w:szCs w:val="26"/>
        </w:rPr>
        <w:t>el Tribunal Pleno</w:t>
      </w:r>
      <w:r w:rsidRPr="00EB31A6">
        <w:rPr>
          <w:rFonts w:cs="Arial"/>
          <w:sz w:val="26"/>
          <w:szCs w:val="26"/>
        </w:rPr>
        <w:t xml:space="preserve"> </w:t>
      </w:r>
      <w:r w:rsidR="00302CE2">
        <w:rPr>
          <w:rFonts w:cs="Arial"/>
          <w:sz w:val="26"/>
          <w:szCs w:val="26"/>
        </w:rPr>
        <w:t>ha explicado</w:t>
      </w:r>
      <w:r w:rsidRPr="00EB31A6">
        <w:rPr>
          <w:rFonts w:cs="Arial"/>
          <w:sz w:val="26"/>
          <w:szCs w:val="26"/>
        </w:rPr>
        <w:t xml:space="preserve"> que</w:t>
      </w:r>
      <w:r w:rsidR="006848E8">
        <w:rPr>
          <w:rFonts w:cs="Arial"/>
          <w:sz w:val="26"/>
          <w:szCs w:val="26"/>
        </w:rPr>
        <w:t>,</w:t>
      </w:r>
      <w:r w:rsidRPr="00EB31A6">
        <w:rPr>
          <w:rFonts w:cs="Arial"/>
          <w:sz w:val="26"/>
          <w:szCs w:val="26"/>
        </w:rPr>
        <w:t xml:space="preserve"> </w:t>
      </w:r>
      <w:r>
        <w:rPr>
          <w:rFonts w:cs="Arial"/>
          <w:sz w:val="26"/>
          <w:szCs w:val="26"/>
        </w:rPr>
        <w:t xml:space="preserve">para el efecto de determinar la invalidez de una norma general por vulnerar el derecho a la consulta de los pueblos y comunidades indígenas y afromexicanas, no es relevante si la medida es benéfica </w:t>
      </w:r>
      <w:r w:rsidR="000B5BAC">
        <w:rPr>
          <w:rFonts w:cs="Arial"/>
          <w:sz w:val="26"/>
          <w:szCs w:val="26"/>
        </w:rPr>
        <w:t xml:space="preserve">para ellos </w:t>
      </w:r>
      <w:r>
        <w:rPr>
          <w:rFonts w:cs="Arial"/>
          <w:sz w:val="26"/>
          <w:szCs w:val="26"/>
        </w:rPr>
        <w:t>a juicio del legislador</w:t>
      </w:r>
      <w:r w:rsidRPr="00894B94">
        <w:rPr>
          <w:rStyle w:val="Refdenotaalpie"/>
          <w:rFonts w:cs="Arial"/>
          <w:sz w:val="26"/>
          <w:szCs w:val="26"/>
          <w:lang w:val="es-MX"/>
        </w:rPr>
        <w:footnoteReference w:id="66"/>
      </w:r>
      <w:r>
        <w:rPr>
          <w:rFonts w:cs="Arial"/>
          <w:sz w:val="26"/>
          <w:szCs w:val="26"/>
        </w:rPr>
        <w:t xml:space="preserve">. En tanto que la consulta </w:t>
      </w:r>
      <w:r w:rsidR="00BB46F0">
        <w:rPr>
          <w:rFonts w:cs="Arial"/>
          <w:sz w:val="26"/>
          <w:szCs w:val="26"/>
        </w:rPr>
        <w:t>representa</w:t>
      </w:r>
      <w:r w:rsidR="00DE47F9">
        <w:rPr>
          <w:rFonts w:cs="Arial"/>
          <w:sz w:val="26"/>
          <w:szCs w:val="26"/>
        </w:rPr>
        <w:t xml:space="preserve"> una garantía del derecho a la autodeterminación</w:t>
      </w:r>
      <w:r>
        <w:rPr>
          <w:rFonts w:cs="Arial"/>
          <w:sz w:val="26"/>
          <w:szCs w:val="26"/>
        </w:rPr>
        <w:t xml:space="preserve"> de estos pueblos y comunidades</w:t>
      </w:r>
      <w:r w:rsidR="00DE47F9" w:rsidRPr="00EB31A6">
        <w:rPr>
          <w:rFonts w:cs="Arial"/>
          <w:sz w:val="26"/>
          <w:szCs w:val="26"/>
        </w:rPr>
        <w:t>,</w:t>
      </w:r>
      <w:r w:rsidR="00213B4C">
        <w:rPr>
          <w:rFonts w:cs="Arial"/>
          <w:sz w:val="26"/>
          <w:szCs w:val="26"/>
        </w:rPr>
        <w:t xml:space="preserve"> </w:t>
      </w:r>
      <w:r w:rsidR="00DE47F9" w:rsidRPr="00EB31A6">
        <w:rPr>
          <w:rFonts w:cs="Arial"/>
          <w:sz w:val="26"/>
          <w:szCs w:val="26"/>
        </w:rPr>
        <w:t>“</w:t>
      </w:r>
      <w:r w:rsidR="00DE47F9" w:rsidRPr="00EB31A6">
        <w:rPr>
          <w:rFonts w:cs="Arial"/>
          <w:i/>
          <w:sz w:val="26"/>
          <w:szCs w:val="26"/>
        </w:rPr>
        <w:t>afectar directamente</w:t>
      </w:r>
      <w:r w:rsidR="00DE47F9" w:rsidRPr="00EB31A6">
        <w:rPr>
          <w:rFonts w:cs="Arial"/>
          <w:sz w:val="26"/>
          <w:szCs w:val="26"/>
        </w:rPr>
        <w:t xml:space="preserve">” en el sentido del </w:t>
      </w:r>
      <w:r w:rsidR="00DE47F9">
        <w:rPr>
          <w:rFonts w:cs="Arial"/>
          <w:sz w:val="26"/>
          <w:szCs w:val="26"/>
        </w:rPr>
        <w:t xml:space="preserve">artículo 6 del </w:t>
      </w:r>
      <w:r w:rsidR="00DE47F9" w:rsidRPr="00EB31A6">
        <w:rPr>
          <w:rFonts w:cs="Arial"/>
          <w:sz w:val="26"/>
          <w:szCs w:val="26"/>
        </w:rPr>
        <w:t>Convenio</w:t>
      </w:r>
      <w:r w:rsidR="00DE47F9">
        <w:rPr>
          <w:rFonts w:cs="Arial"/>
          <w:sz w:val="26"/>
          <w:szCs w:val="26"/>
        </w:rPr>
        <w:t xml:space="preserve"> 169 de la OIT</w:t>
      </w:r>
      <w:r w:rsidR="00DE47F9" w:rsidRPr="00EB31A6">
        <w:rPr>
          <w:rFonts w:cs="Arial"/>
          <w:sz w:val="26"/>
          <w:szCs w:val="26"/>
        </w:rPr>
        <w:t xml:space="preserve"> </w:t>
      </w:r>
      <w:r w:rsidR="00302CE2">
        <w:rPr>
          <w:rFonts w:cs="Arial"/>
          <w:sz w:val="26"/>
          <w:szCs w:val="26"/>
        </w:rPr>
        <w:t xml:space="preserve">no </w:t>
      </w:r>
      <w:r w:rsidR="00B65DD8">
        <w:rPr>
          <w:rFonts w:cs="Arial"/>
          <w:sz w:val="26"/>
          <w:szCs w:val="26"/>
        </w:rPr>
        <w:t>puede tener</w:t>
      </w:r>
      <w:r w:rsidR="00DE47F9" w:rsidRPr="00EB31A6">
        <w:rPr>
          <w:rFonts w:cs="Arial"/>
          <w:sz w:val="26"/>
          <w:szCs w:val="26"/>
        </w:rPr>
        <w:t xml:space="preserve"> </w:t>
      </w:r>
      <w:r w:rsidR="00965387">
        <w:rPr>
          <w:rFonts w:cs="Arial"/>
          <w:sz w:val="26"/>
          <w:szCs w:val="26"/>
        </w:rPr>
        <w:t xml:space="preserve">una connotación </w:t>
      </w:r>
      <w:r w:rsidR="00213B4C">
        <w:rPr>
          <w:rFonts w:cs="Arial"/>
          <w:sz w:val="26"/>
          <w:szCs w:val="26"/>
        </w:rPr>
        <w:t>exclusivamente</w:t>
      </w:r>
      <w:r>
        <w:rPr>
          <w:rFonts w:cs="Arial"/>
          <w:sz w:val="26"/>
          <w:szCs w:val="26"/>
        </w:rPr>
        <w:t xml:space="preserve"> </w:t>
      </w:r>
      <w:r w:rsidR="00965387">
        <w:rPr>
          <w:rFonts w:cs="Arial"/>
          <w:sz w:val="26"/>
          <w:szCs w:val="26"/>
        </w:rPr>
        <w:t>negativa.</w:t>
      </w:r>
      <w:r w:rsidR="00DE47F9" w:rsidRPr="00EB31A6">
        <w:rPr>
          <w:rFonts w:cs="Arial"/>
          <w:sz w:val="26"/>
          <w:szCs w:val="26"/>
        </w:rPr>
        <w:t xml:space="preserve"> </w:t>
      </w:r>
      <w:r w:rsidR="00965387">
        <w:rPr>
          <w:rFonts w:cs="Arial"/>
          <w:sz w:val="26"/>
          <w:szCs w:val="26"/>
        </w:rPr>
        <w:t>S</w:t>
      </w:r>
      <w:r w:rsidR="00DE47F9">
        <w:rPr>
          <w:rFonts w:cs="Arial"/>
          <w:sz w:val="26"/>
          <w:szCs w:val="26"/>
        </w:rPr>
        <w:t xml:space="preserve">e trata </w:t>
      </w:r>
      <w:r w:rsidR="00DE47F9" w:rsidRPr="00EB31A6">
        <w:rPr>
          <w:rFonts w:cs="Arial"/>
          <w:sz w:val="26"/>
          <w:szCs w:val="26"/>
        </w:rPr>
        <w:t>más bien</w:t>
      </w:r>
      <w:r w:rsidR="002C05B4">
        <w:rPr>
          <w:rFonts w:cs="Arial"/>
          <w:sz w:val="26"/>
          <w:szCs w:val="26"/>
        </w:rPr>
        <w:t xml:space="preserve"> de</w:t>
      </w:r>
      <w:r w:rsidR="00DE47F9" w:rsidRPr="00EB31A6">
        <w:rPr>
          <w:rFonts w:cs="Arial"/>
          <w:sz w:val="26"/>
          <w:szCs w:val="26"/>
        </w:rPr>
        <w:t xml:space="preserve"> una acepción </w:t>
      </w:r>
      <w:r w:rsidR="002C05B4">
        <w:rPr>
          <w:rFonts w:cs="Arial"/>
          <w:sz w:val="26"/>
          <w:szCs w:val="26"/>
        </w:rPr>
        <w:t xml:space="preserve">más </w:t>
      </w:r>
      <w:r w:rsidR="00DE47F9" w:rsidRPr="00EB31A6">
        <w:rPr>
          <w:rFonts w:cs="Arial"/>
          <w:sz w:val="26"/>
          <w:szCs w:val="26"/>
        </w:rPr>
        <w:t xml:space="preserve">amplia que abarca la generación de cualquier efecto </w:t>
      </w:r>
      <w:r w:rsidR="0036650D">
        <w:rPr>
          <w:rFonts w:cs="Arial"/>
          <w:sz w:val="26"/>
          <w:szCs w:val="26"/>
        </w:rPr>
        <w:t xml:space="preserve">diferenciado </w:t>
      </w:r>
      <w:r w:rsidR="00DE47F9" w:rsidRPr="00EB31A6">
        <w:rPr>
          <w:rFonts w:cs="Arial"/>
          <w:sz w:val="26"/>
          <w:szCs w:val="26"/>
        </w:rPr>
        <w:t>en la particular situación de los pueblos y comunidades indígenas</w:t>
      </w:r>
      <w:r w:rsidR="000B5BAC">
        <w:rPr>
          <w:rFonts w:cs="Arial"/>
          <w:sz w:val="26"/>
          <w:szCs w:val="26"/>
        </w:rPr>
        <w:t xml:space="preserve"> </w:t>
      </w:r>
      <w:r w:rsidR="00A87C2B">
        <w:rPr>
          <w:rFonts w:cs="Arial"/>
          <w:sz w:val="26"/>
          <w:szCs w:val="26"/>
        </w:rPr>
        <w:t>o</w:t>
      </w:r>
      <w:r w:rsidR="000B5BAC">
        <w:rPr>
          <w:rFonts w:cs="Arial"/>
          <w:sz w:val="26"/>
          <w:szCs w:val="26"/>
        </w:rPr>
        <w:t xml:space="preserve"> afromexicanas</w:t>
      </w:r>
      <w:r w:rsidR="00DE47F9" w:rsidRPr="00EB31A6">
        <w:rPr>
          <w:rFonts w:cs="Arial"/>
          <w:sz w:val="26"/>
          <w:szCs w:val="26"/>
        </w:rPr>
        <w:t xml:space="preserve"> a raíz de una decisión gubernamental</w:t>
      </w:r>
      <w:r w:rsidR="00DE47F9">
        <w:rPr>
          <w:rFonts w:cs="Arial"/>
          <w:sz w:val="26"/>
          <w:szCs w:val="26"/>
        </w:rPr>
        <w:t>.</w:t>
      </w:r>
      <w:r>
        <w:rPr>
          <w:rFonts w:cs="Arial"/>
          <w:sz w:val="26"/>
          <w:szCs w:val="26"/>
        </w:rPr>
        <w:t xml:space="preserve"> </w:t>
      </w:r>
      <w:r w:rsidR="00213B4C">
        <w:rPr>
          <w:rFonts w:cs="Arial"/>
          <w:sz w:val="26"/>
          <w:szCs w:val="26"/>
        </w:rPr>
        <w:t>Estimar</w:t>
      </w:r>
      <w:r>
        <w:rPr>
          <w:rFonts w:cs="Arial"/>
          <w:sz w:val="26"/>
          <w:szCs w:val="26"/>
        </w:rPr>
        <w:t xml:space="preserve"> </w:t>
      </w:r>
      <w:r w:rsidR="00213B4C">
        <w:rPr>
          <w:rFonts w:cs="Arial"/>
          <w:sz w:val="26"/>
          <w:szCs w:val="26"/>
        </w:rPr>
        <w:t xml:space="preserve">que la afectación directa </w:t>
      </w:r>
      <w:r w:rsidR="00302CE2">
        <w:rPr>
          <w:rFonts w:cs="Arial"/>
          <w:sz w:val="26"/>
          <w:szCs w:val="26"/>
        </w:rPr>
        <w:t>fue</w:t>
      </w:r>
      <w:r w:rsidR="0016182B">
        <w:rPr>
          <w:rFonts w:cs="Arial"/>
          <w:sz w:val="26"/>
          <w:szCs w:val="26"/>
        </w:rPr>
        <w:t>se</w:t>
      </w:r>
      <w:r w:rsidR="00213B4C">
        <w:rPr>
          <w:rFonts w:cs="Arial"/>
          <w:sz w:val="26"/>
          <w:szCs w:val="26"/>
        </w:rPr>
        <w:t xml:space="preserve"> sólo aquélla que perjudique</w:t>
      </w:r>
      <w:r w:rsidR="00B65DD8">
        <w:rPr>
          <w:rFonts w:cs="Arial"/>
          <w:sz w:val="26"/>
          <w:szCs w:val="26"/>
        </w:rPr>
        <w:t xml:space="preserve"> a estos grupos</w:t>
      </w:r>
      <w:r w:rsidR="00213B4C">
        <w:rPr>
          <w:rFonts w:cs="Arial"/>
          <w:sz w:val="26"/>
          <w:szCs w:val="26"/>
        </w:rPr>
        <w:t xml:space="preserve"> bajo </w:t>
      </w:r>
      <w:r w:rsidR="0008208F">
        <w:rPr>
          <w:rFonts w:cs="Arial"/>
          <w:sz w:val="26"/>
          <w:szCs w:val="26"/>
        </w:rPr>
        <w:t>los estándares</w:t>
      </w:r>
      <w:r w:rsidR="00213B4C">
        <w:rPr>
          <w:rFonts w:cs="Arial"/>
          <w:sz w:val="26"/>
          <w:szCs w:val="26"/>
        </w:rPr>
        <w:t xml:space="preserve"> del legislador</w:t>
      </w:r>
      <w:r w:rsidR="0036650D">
        <w:rPr>
          <w:rFonts w:cs="Arial"/>
          <w:sz w:val="26"/>
          <w:szCs w:val="26"/>
        </w:rPr>
        <w:t xml:space="preserve"> implicaría realizar un pronunciamiento a priori sobre la medida</w:t>
      </w:r>
      <w:r w:rsidR="00302CE2">
        <w:rPr>
          <w:rFonts w:cs="Arial"/>
          <w:sz w:val="26"/>
          <w:szCs w:val="26"/>
        </w:rPr>
        <w:t xml:space="preserve"> que no es compatible con el propósito del Convenio</w:t>
      </w:r>
      <w:r w:rsidR="0036650D">
        <w:rPr>
          <w:rFonts w:cs="Arial"/>
          <w:sz w:val="26"/>
          <w:szCs w:val="26"/>
        </w:rPr>
        <w:t xml:space="preserve">. </w:t>
      </w:r>
      <w:r w:rsidR="002C05B4">
        <w:rPr>
          <w:rFonts w:cs="Arial"/>
          <w:sz w:val="26"/>
          <w:szCs w:val="26"/>
        </w:rPr>
        <w:t xml:space="preserve">En palabras del Tribunal Pleno, </w:t>
      </w:r>
      <w:r w:rsidR="00C24EFD">
        <w:rPr>
          <w:rFonts w:cs="Arial"/>
          <w:sz w:val="26"/>
          <w:szCs w:val="26"/>
        </w:rPr>
        <w:t>una</w:t>
      </w:r>
      <w:r w:rsidR="0036650D">
        <w:rPr>
          <w:rFonts w:cs="Arial"/>
          <w:sz w:val="26"/>
          <w:szCs w:val="26"/>
        </w:rPr>
        <w:t xml:space="preserve"> postura</w:t>
      </w:r>
      <w:r w:rsidR="00C24EFD">
        <w:rPr>
          <w:rFonts w:cs="Arial"/>
          <w:sz w:val="26"/>
          <w:szCs w:val="26"/>
        </w:rPr>
        <w:t xml:space="preserve"> así</w:t>
      </w:r>
      <w:r w:rsidR="0036650D">
        <w:rPr>
          <w:rFonts w:cs="Arial"/>
          <w:sz w:val="26"/>
          <w:szCs w:val="26"/>
        </w:rPr>
        <w:t xml:space="preserve"> </w:t>
      </w:r>
      <w:r>
        <w:rPr>
          <w:rFonts w:cs="Arial"/>
          <w:sz w:val="26"/>
          <w:szCs w:val="26"/>
        </w:rPr>
        <w:t>“</w:t>
      </w:r>
      <w:r w:rsidR="00302CE2">
        <w:rPr>
          <w:rFonts w:cs="Arial"/>
          <w:sz w:val="26"/>
          <w:szCs w:val="26"/>
        </w:rPr>
        <w:t>[</w:t>
      </w:r>
      <w:r w:rsidR="0036650D" w:rsidRPr="0036650D">
        <w:rPr>
          <w:rFonts w:cs="Arial"/>
          <w:i/>
          <w:sz w:val="26"/>
          <w:szCs w:val="26"/>
          <w:u w:val="single"/>
          <w:lang w:val="es-MX"/>
        </w:rPr>
        <w:t>desconoc</w:t>
      </w:r>
      <w:r w:rsidR="00302CE2">
        <w:rPr>
          <w:rFonts w:cs="Arial"/>
          <w:i/>
          <w:sz w:val="26"/>
          <w:szCs w:val="26"/>
          <w:u w:val="single"/>
          <w:lang w:val="es-MX"/>
        </w:rPr>
        <w:t>ería]</w:t>
      </w:r>
      <w:r w:rsidR="0036650D" w:rsidRPr="0036650D">
        <w:rPr>
          <w:rFonts w:cs="Arial"/>
          <w:i/>
          <w:sz w:val="26"/>
          <w:szCs w:val="26"/>
          <w:u w:val="single"/>
          <w:lang w:val="es-MX"/>
        </w:rPr>
        <w:t xml:space="preserve"> que parte del objetivo de una consulta indígena es que sean los propios pueblos y comunidades indígenas quienes valoren qué es o qué no es lo que más les beneficia</w:t>
      </w:r>
      <w:r>
        <w:rPr>
          <w:rFonts w:cs="Arial"/>
          <w:sz w:val="26"/>
          <w:szCs w:val="26"/>
        </w:rPr>
        <w:t>”</w:t>
      </w:r>
      <w:r w:rsidR="0036650D" w:rsidRPr="00894B94">
        <w:rPr>
          <w:rStyle w:val="Refdenotaalpie"/>
          <w:rFonts w:cs="Arial"/>
          <w:sz w:val="26"/>
          <w:szCs w:val="26"/>
          <w:lang w:val="es-MX"/>
        </w:rPr>
        <w:footnoteReference w:id="67"/>
      </w:r>
      <w:r>
        <w:rPr>
          <w:rFonts w:cs="Arial"/>
          <w:sz w:val="26"/>
          <w:szCs w:val="26"/>
        </w:rPr>
        <w:t>.</w:t>
      </w:r>
    </w:p>
    <w:p w:rsidR="00B45719" w:rsidRPr="00B45719" w:rsidRDefault="000313F6" w:rsidP="00B45719">
      <w:pPr>
        <w:pStyle w:val="corte4fondo"/>
        <w:numPr>
          <w:ilvl w:val="0"/>
          <w:numId w:val="1"/>
        </w:numPr>
        <w:tabs>
          <w:tab w:val="clear" w:pos="-3"/>
          <w:tab w:val="left" w:pos="0"/>
        </w:tabs>
        <w:spacing w:after="360" w:line="360" w:lineRule="auto"/>
        <w:ind w:left="0" w:hanging="567"/>
        <w:rPr>
          <w:bCs/>
          <w:sz w:val="26"/>
          <w:szCs w:val="26"/>
          <w:lang w:val="es-MX"/>
        </w:rPr>
      </w:pPr>
      <w:r>
        <w:rPr>
          <w:bCs/>
          <w:sz w:val="26"/>
          <w:szCs w:val="26"/>
          <w:lang w:val="es-MX"/>
        </w:rPr>
        <w:t>Teniendo en cuenta</w:t>
      </w:r>
      <w:r w:rsidR="00D418BA">
        <w:rPr>
          <w:bCs/>
          <w:sz w:val="26"/>
          <w:szCs w:val="26"/>
          <w:lang w:val="es-MX"/>
        </w:rPr>
        <w:t xml:space="preserve"> </w:t>
      </w:r>
      <w:r w:rsidR="00302CE2">
        <w:rPr>
          <w:bCs/>
          <w:sz w:val="26"/>
          <w:szCs w:val="26"/>
          <w:lang w:val="es-MX"/>
        </w:rPr>
        <w:t>los precedentes recién referidos</w:t>
      </w:r>
      <w:r w:rsidR="00487D31">
        <w:rPr>
          <w:bCs/>
          <w:sz w:val="26"/>
          <w:szCs w:val="26"/>
          <w:lang w:val="es-MX"/>
        </w:rPr>
        <w:t>,</w:t>
      </w:r>
      <w:r w:rsidR="00302CE2">
        <w:rPr>
          <w:bCs/>
          <w:sz w:val="26"/>
          <w:szCs w:val="26"/>
          <w:lang w:val="es-MX"/>
        </w:rPr>
        <w:t xml:space="preserve"> </w:t>
      </w:r>
      <w:r w:rsidR="002C05B4">
        <w:rPr>
          <w:bCs/>
          <w:sz w:val="26"/>
          <w:szCs w:val="26"/>
          <w:lang w:val="es-MX"/>
        </w:rPr>
        <w:t>esta</w:t>
      </w:r>
      <w:r w:rsidR="00DD41A9">
        <w:rPr>
          <w:bCs/>
          <w:sz w:val="26"/>
          <w:szCs w:val="26"/>
          <w:lang w:val="es-MX"/>
        </w:rPr>
        <w:t xml:space="preserve"> Suprema Corte considera que</w:t>
      </w:r>
      <w:r w:rsidR="00811CB4">
        <w:rPr>
          <w:bCs/>
          <w:sz w:val="26"/>
          <w:szCs w:val="26"/>
          <w:lang w:val="es-MX"/>
        </w:rPr>
        <w:t xml:space="preserve"> </w:t>
      </w:r>
      <w:r w:rsidR="0016182B">
        <w:rPr>
          <w:bCs/>
          <w:sz w:val="26"/>
          <w:szCs w:val="26"/>
          <w:lang w:val="es-MX"/>
        </w:rPr>
        <w:t xml:space="preserve">todos los </w:t>
      </w:r>
      <w:r w:rsidR="00D05E2E">
        <w:rPr>
          <w:bCs/>
          <w:sz w:val="26"/>
          <w:szCs w:val="26"/>
          <w:lang w:val="es-MX"/>
        </w:rPr>
        <w:t>decretos impugnados</w:t>
      </w:r>
      <w:r w:rsidR="00D418BA" w:rsidRPr="00D418BA">
        <w:rPr>
          <w:bCs/>
          <w:sz w:val="26"/>
          <w:szCs w:val="26"/>
          <w:lang w:val="es-MX"/>
        </w:rPr>
        <w:t xml:space="preserve"> </w:t>
      </w:r>
      <w:r w:rsidR="00D418BA">
        <w:rPr>
          <w:bCs/>
          <w:sz w:val="26"/>
          <w:szCs w:val="26"/>
          <w:lang w:val="es-MX"/>
        </w:rPr>
        <w:t xml:space="preserve">en el presente asunto </w:t>
      </w:r>
      <w:r w:rsidR="0016182B">
        <w:rPr>
          <w:bCs/>
          <w:sz w:val="26"/>
          <w:szCs w:val="26"/>
          <w:lang w:val="es-MX"/>
        </w:rPr>
        <w:t xml:space="preserve">representan por su contenido material </w:t>
      </w:r>
      <w:r w:rsidR="00D418BA">
        <w:rPr>
          <w:bCs/>
          <w:sz w:val="26"/>
          <w:szCs w:val="26"/>
          <w:lang w:val="es-MX"/>
        </w:rPr>
        <w:t>medidas legislativas</w:t>
      </w:r>
      <w:r w:rsidR="0078091D">
        <w:rPr>
          <w:bCs/>
          <w:sz w:val="26"/>
          <w:szCs w:val="26"/>
          <w:lang w:val="es-MX"/>
        </w:rPr>
        <w:t xml:space="preserve"> susceptible</w:t>
      </w:r>
      <w:r w:rsidR="00D418BA">
        <w:rPr>
          <w:bCs/>
          <w:sz w:val="26"/>
          <w:szCs w:val="26"/>
          <w:lang w:val="es-MX"/>
        </w:rPr>
        <w:t>s</w:t>
      </w:r>
      <w:r w:rsidR="00166BD1">
        <w:rPr>
          <w:bCs/>
          <w:sz w:val="26"/>
          <w:szCs w:val="26"/>
          <w:lang w:val="es-MX"/>
        </w:rPr>
        <w:t xml:space="preserve"> </w:t>
      </w:r>
      <w:r w:rsidR="0008208F">
        <w:rPr>
          <w:bCs/>
          <w:sz w:val="26"/>
          <w:szCs w:val="26"/>
          <w:lang w:val="es-MX"/>
        </w:rPr>
        <w:t xml:space="preserve">de </w:t>
      </w:r>
      <w:r w:rsidR="0008208F">
        <w:rPr>
          <w:bCs/>
          <w:sz w:val="26"/>
          <w:szCs w:val="26"/>
          <w:lang w:val="es-MX"/>
        </w:rPr>
        <w:lastRenderedPageBreak/>
        <w:t xml:space="preserve">afectar </w:t>
      </w:r>
      <w:r w:rsidR="00166BD1">
        <w:rPr>
          <w:bCs/>
          <w:sz w:val="26"/>
          <w:szCs w:val="26"/>
          <w:lang w:val="es-MX"/>
        </w:rPr>
        <w:t xml:space="preserve">directamente </w:t>
      </w:r>
      <w:r w:rsidR="00C76E71">
        <w:rPr>
          <w:bCs/>
          <w:sz w:val="26"/>
          <w:szCs w:val="26"/>
          <w:lang w:val="es-MX"/>
        </w:rPr>
        <w:t>a</w:t>
      </w:r>
      <w:r w:rsidR="00166BD1">
        <w:rPr>
          <w:bCs/>
          <w:sz w:val="26"/>
          <w:szCs w:val="26"/>
          <w:lang w:val="es-MX"/>
        </w:rPr>
        <w:t xml:space="preserve"> </w:t>
      </w:r>
      <w:r w:rsidR="00C76E71">
        <w:rPr>
          <w:bCs/>
          <w:sz w:val="26"/>
          <w:szCs w:val="26"/>
          <w:lang w:val="es-MX"/>
        </w:rPr>
        <w:t>los</w:t>
      </w:r>
      <w:r w:rsidR="00166BD1">
        <w:rPr>
          <w:bCs/>
          <w:sz w:val="26"/>
          <w:szCs w:val="26"/>
          <w:lang w:val="es-MX"/>
        </w:rPr>
        <w:t xml:space="preserve"> pueblos y comunidades indígenas del Estado de Chihuahua</w:t>
      </w:r>
      <w:r w:rsidR="00B65DD8">
        <w:rPr>
          <w:bCs/>
          <w:sz w:val="26"/>
          <w:szCs w:val="26"/>
          <w:lang w:val="es-MX"/>
        </w:rPr>
        <w:t xml:space="preserve"> en el sentido del artículo 6 del Convenio 169 de la OIT</w:t>
      </w:r>
      <w:r w:rsidR="00166BD1">
        <w:rPr>
          <w:bCs/>
          <w:sz w:val="26"/>
          <w:szCs w:val="26"/>
          <w:lang w:val="es-MX"/>
        </w:rPr>
        <w:t>.</w:t>
      </w:r>
      <w:r w:rsidR="00B45719" w:rsidRPr="00B45719">
        <w:rPr>
          <w:bCs/>
          <w:sz w:val="26"/>
          <w:szCs w:val="26"/>
          <w:lang w:val="es-MX"/>
        </w:rPr>
        <w:t xml:space="preserve"> </w:t>
      </w:r>
      <w:r>
        <w:rPr>
          <w:bCs/>
          <w:sz w:val="26"/>
          <w:szCs w:val="26"/>
          <w:lang w:val="es-MX"/>
        </w:rPr>
        <w:t>Por lo tanto,</w:t>
      </w:r>
      <w:r w:rsidR="00B45719">
        <w:rPr>
          <w:bCs/>
          <w:sz w:val="26"/>
          <w:szCs w:val="26"/>
          <w:lang w:val="es-MX"/>
        </w:rPr>
        <w:t xml:space="preserve"> </w:t>
      </w:r>
      <w:r>
        <w:rPr>
          <w:bCs/>
          <w:sz w:val="26"/>
          <w:szCs w:val="26"/>
          <w:lang w:val="es-MX"/>
        </w:rPr>
        <w:t>para expedir</w:t>
      </w:r>
      <w:r w:rsidR="00B45719">
        <w:rPr>
          <w:bCs/>
          <w:sz w:val="26"/>
          <w:szCs w:val="26"/>
          <w:lang w:val="es-MX"/>
        </w:rPr>
        <w:t xml:space="preserve"> </w:t>
      </w:r>
      <w:r w:rsidR="00B71E45">
        <w:rPr>
          <w:bCs/>
          <w:sz w:val="26"/>
          <w:szCs w:val="26"/>
          <w:lang w:val="es-MX"/>
        </w:rPr>
        <w:t>tales instrumentos</w:t>
      </w:r>
      <w:r w:rsidR="00B45719">
        <w:rPr>
          <w:bCs/>
          <w:sz w:val="26"/>
          <w:szCs w:val="26"/>
          <w:lang w:val="es-MX"/>
        </w:rPr>
        <w:t xml:space="preserve"> las autoridades</w:t>
      </w:r>
      <w:r>
        <w:rPr>
          <w:bCs/>
          <w:sz w:val="26"/>
          <w:szCs w:val="26"/>
          <w:lang w:val="es-MX"/>
        </w:rPr>
        <w:t xml:space="preserve"> estatales</w:t>
      </w:r>
      <w:r w:rsidR="00B45719">
        <w:rPr>
          <w:bCs/>
          <w:sz w:val="26"/>
          <w:szCs w:val="26"/>
          <w:lang w:val="es-MX"/>
        </w:rPr>
        <w:t xml:space="preserve"> </w:t>
      </w:r>
      <w:r w:rsidR="0016182B">
        <w:rPr>
          <w:bCs/>
          <w:sz w:val="26"/>
          <w:szCs w:val="26"/>
          <w:lang w:val="es-MX"/>
        </w:rPr>
        <w:t>se encontraban</w:t>
      </w:r>
      <w:r w:rsidR="00B45719">
        <w:rPr>
          <w:bCs/>
          <w:sz w:val="26"/>
          <w:szCs w:val="26"/>
          <w:lang w:val="es-MX"/>
        </w:rPr>
        <w:t xml:space="preserve"> </w:t>
      </w:r>
      <w:r w:rsidR="00C76E71">
        <w:rPr>
          <w:bCs/>
          <w:sz w:val="26"/>
          <w:szCs w:val="26"/>
          <w:lang w:val="es-MX"/>
        </w:rPr>
        <w:t xml:space="preserve">constitucionalmente </w:t>
      </w:r>
      <w:r w:rsidR="00B45719">
        <w:rPr>
          <w:bCs/>
          <w:sz w:val="26"/>
          <w:szCs w:val="26"/>
          <w:lang w:val="es-MX"/>
        </w:rPr>
        <w:t>obligadas a llevar a cabo una consulta</w:t>
      </w:r>
      <w:r w:rsidR="00C76E71">
        <w:rPr>
          <w:bCs/>
          <w:sz w:val="26"/>
          <w:szCs w:val="26"/>
          <w:lang w:val="es-MX"/>
        </w:rPr>
        <w:t xml:space="preserve"> </w:t>
      </w:r>
      <w:r w:rsidR="008C0B20">
        <w:rPr>
          <w:bCs/>
          <w:sz w:val="26"/>
          <w:szCs w:val="26"/>
          <w:lang w:val="es-MX"/>
        </w:rPr>
        <w:t xml:space="preserve">de manera </w:t>
      </w:r>
      <w:r w:rsidR="00C76E71">
        <w:rPr>
          <w:bCs/>
          <w:sz w:val="26"/>
          <w:szCs w:val="26"/>
          <w:lang w:val="es-MX"/>
        </w:rPr>
        <w:t>previa, libre, informada, culturalmente adecuada y de buena fe</w:t>
      </w:r>
      <w:r w:rsidR="00B45719">
        <w:rPr>
          <w:bCs/>
          <w:sz w:val="26"/>
          <w:szCs w:val="26"/>
          <w:lang w:val="es-MX"/>
        </w:rPr>
        <w:t xml:space="preserve"> </w:t>
      </w:r>
      <w:r w:rsidR="002C70D7">
        <w:rPr>
          <w:bCs/>
          <w:sz w:val="26"/>
          <w:szCs w:val="26"/>
          <w:lang w:val="es-MX"/>
        </w:rPr>
        <w:t>para</w:t>
      </w:r>
      <w:r w:rsidR="00B45719">
        <w:rPr>
          <w:bCs/>
          <w:sz w:val="26"/>
          <w:szCs w:val="26"/>
          <w:lang w:val="es-MX"/>
        </w:rPr>
        <w:t xml:space="preserve"> los pueblos y comunidades indígenas de </w:t>
      </w:r>
      <w:r w:rsidR="00A87C2B">
        <w:rPr>
          <w:bCs/>
          <w:sz w:val="26"/>
          <w:szCs w:val="26"/>
          <w:lang w:val="es-MX"/>
        </w:rPr>
        <w:t>esa</w:t>
      </w:r>
      <w:r w:rsidR="00B45719">
        <w:rPr>
          <w:bCs/>
          <w:sz w:val="26"/>
          <w:szCs w:val="26"/>
          <w:lang w:val="es-MX"/>
        </w:rPr>
        <w:t xml:space="preserve"> entidad federativa.</w:t>
      </w:r>
    </w:p>
    <w:p w:rsidR="004C4044" w:rsidRDefault="000313F6" w:rsidP="001D7F75">
      <w:pPr>
        <w:pStyle w:val="corte4fondo"/>
        <w:numPr>
          <w:ilvl w:val="0"/>
          <w:numId w:val="1"/>
        </w:numPr>
        <w:tabs>
          <w:tab w:val="clear" w:pos="-3"/>
          <w:tab w:val="left" w:pos="0"/>
        </w:tabs>
        <w:spacing w:after="360" w:line="360" w:lineRule="auto"/>
        <w:ind w:left="0" w:hanging="567"/>
        <w:rPr>
          <w:bCs/>
          <w:sz w:val="26"/>
          <w:szCs w:val="26"/>
          <w:lang w:val="es-MX"/>
        </w:rPr>
      </w:pPr>
      <w:r>
        <w:rPr>
          <w:bCs/>
          <w:sz w:val="26"/>
          <w:szCs w:val="26"/>
          <w:lang w:val="es-MX"/>
        </w:rPr>
        <w:t xml:space="preserve">Como ya se </w:t>
      </w:r>
      <w:r w:rsidR="00A147D3">
        <w:rPr>
          <w:bCs/>
          <w:sz w:val="26"/>
          <w:szCs w:val="26"/>
          <w:lang w:val="es-MX"/>
        </w:rPr>
        <w:t>detal</w:t>
      </w:r>
      <w:r>
        <w:rPr>
          <w:bCs/>
          <w:sz w:val="26"/>
          <w:szCs w:val="26"/>
          <w:lang w:val="es-MX"/>
        </w:rPr>
        <w:t xml:space="preserve">ló líneas arriba (véase </w:t>
      </w:r>
      <w:r w:rsidRPr="001D55F1">
        <w:rPr>
          <w:bCs/>
          <w:i/>
          <w:sz w:val="26"/>
          <w:szCs w:val="26"/>
          <w:lang w:val="es-MX"/>
        </w:rPr>
        <w:t>supra</w:t>
      </w:r>
      <w:r>
        <w:rPr>
          <w:bCs/>
          <w:sz w:val="26"/>
          <w:szCs w:val="26"/>
          <w:lang w:val="es-MX"/>
        </w:rPr>
        <w:t xml:space="preserve"> párr. 20) y en aras de evitar repeticiones innecesarias se tiene aquí por reproducido, las modificaciones aprobadas por el Congreso de Chihuahua regulan de forma diferenciada frente al resto de la población de ese Estado de la República la garantía de </w:t>
      </w:r>
      <w:r w:rsidR="008A6C52">
        <w:rPr>
          <w:bCs/>
          <w:sz w:val="26"/>
          <w:szCs w:val="26"/>
          <w:lang w:val="es-MX"/>
        </w:rPr>
        <w:t>al menos dos</w:t>
      </w:r>
      <w:r>
        <w:rPr>
          <w:bCs/>
          <w:sz w:val="26"/>
          <w:szCs w:val="26"/>
          <w:lang w:val="es-MX"/>
        </w:rPr>
        <w:t xml:space="preserve"> derechos fundamentales de los pueblos y comunidades indígenas. </w:t>
      </w:r>
      <w:r w:rsidR="005639A6">
        <w:rPr>
          <w:bCs/>
          <w:sz w:val="26"/>
          <w:szCs w:val="26"/>
          <w:lang w:val="es-MX"/>
        </w:rPr>
        <w:t>Mientras que</w:t>
      </w:r>
      <w:r w:rsidR="006D1CB0">
        <w:rPr>
          <w:bCs/>
          <w:sz w:val="26"/>
          <w:szCs w:val="26"/>
          <w:lang w:val="es-MX"/>
        </w:rPr>
        <w:t xml:space="preserve"> </w:t>
      </w:r>
      <w:r w:rsidR="00561905">
        <w:rPr>
          <w:bCs/>
          <w:sz w:val="26"/>
          <w:szCs w:val="26"/>
          <w:lang w:val="es-MX"/>
        </w:rPr>
        <w:t>tres de</w:t>
      </w:r>
      <w:r w:rsidR="008A6C52">
        <w:rPr>
          <w:bCs/>
          <w:sz w:val="26"/>
          <w:szCs w:val="26"/>
          <w:lang w:val="es-MX"/>
        </w:rPr>
        <w:t xml:space="preserve"> </w:t>
      </w:r>
      <w:r w:rsidR="006D1CB0">
        <w:rPr>
          <w:bCs/>
          <w:sz w:val="26"/>
          <w:szCs w:val="26"/>
          <w:lang w:val="es-MX"/>
        </w:rPr>
        <w:t>los</w:t>
      </w:r>
      <w:r w:rsidR="008A6C52">
        <w:rPr>
          <w:bCs/>
          <w:sz w:val="26"/>
          <w:szCs w:val="26"/>
          <w:lang w:val="es-MX"/>
        </w:rPr>
        <w:t xml:space="preserve"> decretos impugnados</w:t>
      </w:r>
      <w:r w:rsidR="006D1CB0">
        <w:rPr>
          <w:bCs/>
          <w:sz w:val="26"/>
          <w:szCs w:val="26"/>
          <w:lang w:val="es-MX"/>
        </w:rPr>
        <w:t xml:space="preserve"> </w:t>
      </w:r>
      <w:r w:rsidR="00A35ED9">
        <w:rPr>
          <w:bCs/>
          <w:sz w:val="26"/>
          <w:szCs w:val="26"/>
          <w:lang w:val="es-MX"/>
        </w:rPr>
        <w:t>involucran modificaciones</w:t>
      </w:r>
      <w:r w:rsidR="00690308">
        <w:rPr>
          <w:bCs/>
          <w:sz w:val="26"/>
          <w:szCs w:val="26"/>
          <w:lang w:val="es-MX"/>
        </w:rPr>
        <w:t xml:space="preserve"> para garantizar el </w:t>
      </w:r>
      <w:r w:rsidR="00690308" w:rsidRPr="00597A79">
        <w:rPr>
          <w:bCs/>
          <w:i/>
          <w:sz w:val="26"/>
          <w:szCs w:val="26"/>
          <w:lang w:val="es-MX"/>
        </w:rPr>
        <w:t>derecho de</w:t>
      </w:r>
      <w:r w:rsidR="00690308">
        <w:rPr>
          <w:bCs/>
          <w:sz w:val="26"/>
          <w:szCs w:val="26"/>
          <w:lang w:val="es-MX"/>
        </w:rPr>
        <w:t xml:space="preserve"> </w:t>
      </w:r>
      <w:r w:rsidR="00690308" w:rsidRPr="00597A79">
        <w:rPr>
          <w:bCs/>
          <w:i/>
          <w:sz w:val="26"/>
          <w:szCs w:val="26"/>
          <w:lang w:val="es-MX"/>
        </w:rPr>
        <w:t>acceso a la justicia</w:t>
      </w:r>
      <w:r w:rsidR="008A6C52">
        <w:rPr>
          <w:bCs/>
          <w:sz w:val="26"/>
          <w:szCs w:val="26"/>
          <w:lang w:val="es-MX"/>
        </w:rPr>
        <w:t xml:space="preserve"> de los pueblos</w:t>
      </w:r>
      <w:r w:rsidR="00690308">
        <w:rPr>
          <w:bCs/>
          <w:sz w:val="26"/>
          <w:szCs w:val="26"/>
          <w:lang w:val="es-MX"/>
        </w:rPr>
        <w:t xml:space="preserve"> y</w:t>
      </w:r>
      <w:r w:rsidR="008A6C52">
        <w:rPr>
          <w:bCs/>
          <w:sz w:val="26"/>
          <w:szCs w:val="26"/>
          <w:lang w:val="es-MX"/>
        </w:rPr>
        <w:t xml:space="preserve"> comunidades indígenas de Chihuahua</w:t>
      </w:r>
      <w:r w:rsidR="005639A6">
        <w:rPr>
          <w:bCs/>
          <w:sz w:val="26"/>
          <w:szCs w:val="26"/>
          <w:lang w:val="es-MX"/>
        </w:rPr>
        <w:t>,</w:t>
      </w:r>
      <w:r w:rsidR="008A6C52">
        <w:rPr>
          <w:bCs/>
          <w:sz w:val="26"/>
          <w:szCs w:val="26"/>
          <w:lang w:val="es-MX"/>
        </w:rPr>
        <w:t xml:space="preserve"> </w:t>
      </w:r>
      <w:r w:rsidR="005639A6">
        <w:rPr>
          <w:bCs/>
          <w:sz w:val="26"/>
          <w:szCs w:val="26"/>
          <w:lang w:val="es-MX"/>
        </w:rPr>
        <w:t xml:space="preserve">uno de ellos contiene modificaciones que inciden en la garantía del </w:t>
      </w:r>
      <w:r w:rsidR="005639A6" w:rsidRPr="005639A6">
        <w:rPr>
          <w:bCs/>
          <w:i/>
          <w:sz w:val="26"/>
          <w:szCs w:val="26"/>
          <w:lang w:val="es-MX"/>
        </w:rPr>
        <w:t>derecho a la salud</w:t>
      </w:r>
      <w:r w:rsidR="005639A6">
        <w:rPr>
          <w:bCs/>
          <w:sz w:val="26"/>
          <w:szCs w:val="26"/>
          <w:lang w:val="es-MX"/>
        </w:rPr>
        <w:t xml:space="preserve"> de estos grupos.</w:t>
      </w:r>
    </w:p>
    <w:p w:rsidR="00B56BE0" w:rsidRDefault="005639A6" w:rsidP="001D7F75">
      <w:pPr>
        <w:pStyle w:val="corte4fondo"/>
        <w:numPr>
          <w:ilvl w:val="0"/>
          <w:numId w:val="1"/>
        </w:numPr>
        <w:tabs>
          <w:tab w:val="clear" w:pos="-3"/>
          <w:tab w:val="left" w:pos="0"/>
        </w:tabs>
        <w:spacing w:after="360" w:line="360" w:lineRule="auto"/>
        <w:ind w:left="0" w:hanging="567"/>
        <w:rPr>
          <w:bCs/>
          <w:sz w:val="26"/>
          <w:szCs w:val="26"/>
          <w:lang w:val="es-MX"/>
        </w:rPr>
      </w:pPr>
      <w:r>
        <w:rPr>
          <w:bCs/>
          <w:sz w:val="26"/>
          <w:szCs w:val="26"/>
          <w:lang w:val="es-MX"/>
        </w:rPr>
        <w:t>Por una parte, e</w:t>
      </w:r>
      <w:r w:rsidR="008A6C52">
        <w:rPr>
          <w:bCs/>
          <w:sz w:val="26"/>
          <w:szCs w:val="26"/>
          <w:lang w:val="es-MX"/>
        </w:rPr>
        <w:t>l</w:t>
      </w:r>
      <w:r w:rsidR="008A6C52" w:rsidRPr="008A6C52">
        <w:rPr>
          <w:rFonts w:cs="Arial"/>
          <w:sz w:val="26"/>
          <w:szCs w:val="26"/>
        </w:rPr>
        <w:t xml:space="preserve"> </w:t>
      </w:r>
      <w:r w:rsidR="008A6C52">
        <w:rPr>
          <w:rFonts w:cs="Arial"/>
          <w:sz w:val="26"/>
          <w:szCs w:val="26"/>
        </w:rPr>
        <w:t xml:space="preserve">Decreto N° </w:t>
      </w:r>
      <w:r w:rsidR="008A6C52" w:rsidRPr="00B825C4">
        <w:rPr>
          <w:rFonts w:cs="Arial"/>
          <w:sz w:val="26"/>
          <w:szCs w:val="26"/>
        </w:rPr>
        <w:t>LXVI/RFCNT/0512/2019 I P.O.</w:t>
      </w:r>
      <w:r w:rsidR="008A6C52">
        <w:rPr>
          <w:rFonts w:cs="Arial"/>
          <w:sz w:val="26"/>
          <w:szCs w:val="26"/>
        </w:rPr>
        <w:t xml:space="preserve"> (</w:t>
      </w:r>
      <w:r w:rsidR="008A6C52" w:rsidRPr="008A6C52">
        <w:rPr>
          <w:rFonts w:cs="Arial"/>
          <w:i/>
          <w:sz w:val="26"/>
          <w:szCs w:val="26"/>
        </w:rPr>
        <w:t>supra</w:t>
      </w:r>
      <w:r w:rsidR="008A6C52">
        <w:rPr>
          <w:rFonts w:cs="Arial"/>
          <w:sz w:val="26"/>
          <w:szCs w:val="26"/>
        </w:rPr>
        <w:t xml:space="preserve"> párr. 20. </w:t>
      </w:r>
      <w:r w:rsidR="008A6C52" w:rsidRPr="008A6C52">
        <w:rPr>
          <w:rFonts w:cs="Arial"/>
          <w:b/>
          <w:sz w:val="26"/>
          <w:szCs w:val="26"/>
        </w:rPr>
        <w:t>A</w:t>
      </w:r>
      <w:r w:rsidR="008A6C52">
        <w:rPr>
          <w:rFonts w:cs="Arial"/>
          <w:sz w:val="26"/>
          <w:szCs w:val="26"/>
        </w:rPr>
        <w:t xml:space="preserve">) modificó </w:t>
      </w:r>
      <w:r w:rsidR="00A913AE">
        <w:rPr>
          <w:rFonts w:cs="Arial"/>
          <w:sz w:val="26"/>
          <w:szCs w:val="26"/>
        </w:rPr>
        <w:t xml:space="preserve">el artículo 9 de </w:t>
      </w:r>
      <w:r w:rsidR="008A6C52">
        <w:rPr>
          <w:rFonts w:cs="Arial"/>
          <w:sz w:val="26"/>
          <w:szCs w:val="26"/>
        </w:rPr>
        <w:t>la Constitución Estatal</w:t>
      </w:r>
      <w:r>
        <w:rPr>
          <w:rFonts w:cs="Arial"/>
          <w:sz w:val="26"/>
          <w:szCs w:val="26"/>
        </w:rPr>
        <w:t xml:space="preserve"> que reconoce del derecho de los pueblos indígenas a acceder a la jurisdicción del Estado,</w:t>
      </w:r>
      <w:r w:rsidR="00A913AE">
        <w:rPr>
          <w:rFonts w:cs="Arial"/>
          <w:sz w:val="26"/>
          <w:szCs w:val="26"/>
        </w:rPr>
        <w:t xml:space="preserve"> para disponer que</w:t>
      </w:r>
      <w:r w:rsidR="00A913AE" w:rsidRPr="00A913AE">
        <w:rPr>
          <w:rFonts w:cs="Arial"/>
          <w:sz w:val="26"/>
          <w:szCs w:val="26"/>
        </w:rPr>
        <w:t xml:space="preserve"> </w:t>
      </w:r>
      <w:r w:rsidR="00A913AE">
        <w:rPr>
          <w:rFonts w:cs="Arial"/>
          <w:sz w:val="26"/>
          <w:szCs w:val="26"/>
        </w:rPr>
        <w:t xml:space="preserve">se establecerán instancias especializadas </w:t>
      </w:r>
      <w:r>
        <w:rPr>
          <w:rFonts w:cs="Arial"/>
          <w:sz w:val="26"/>
          <w:szCs w:val="26"/>
        </w:rPr>
        <w:t>a fin de</w:t>
      </w:r>
      <w:r w:rsidR="00A913AE">
        <w:rPr>
          <w:rFonts w:cs="Arial"/>
          <w:sz w:val="26"/>
          <w:szCs w:val="26"/>
        </w:rPr>
        <w:t xml:space="preserve"> cumplir la obligación de asistencia a los pueblos indígenas y a las personas que los componen</w:t>
      </w:r>
      <w:r w:rsidR="00A913AE" w:rsidRPr="00A913AE">
        <w:rPr>
          <w:rFonts w:cs="Arial"/>
          <w:sz w:val="26"/>
          <w:szCs w:val="26"/>
        </w:rPr>
        <w:t xml:space="preserve"> </w:t>
      </w:r>
      <w:r w:rsidR="00A913AE">
        <w:rPr>
          <w:rFonts w:cs="Arial"/>
          <w:sz w:val="26"/>
          <w:szCs w:val="26"/>
        </w:rPr>
        <w:t>con personas traductoras, intérpretes y defensoras con dominio de su lengua, conocimiento de su cultura y del derecho indígena</w:t>
      </w:r>
      <w:r w:rsidR="00DF1727" w:rsidRPr="00894B94">
        <w:rPr>
          <w:rStyle w:val="Refdenotaalpie"/>
          <w:rFonts w:cs="Arial"/>
          <w:sz w:val="26"/>
          <w:szCs w:val="26"/>
        </w:rPr>
        <w:footnoteReference w:id="68"/>
      </w:r>
      <w:r w:rsidR="008A6C52">
        <w:rPr>
          <w:rFonts w:cs="Arial"/>
          <w:sz w:val="26"/>
          <w:szCs w:val="26"/>
        </w:rPr>
        <w:t xml:space="preserve">. </w:t>
      </w:r>
      <w:r>
        <w:rPr>
          <w:rFonts w:cs="Arial"/>
          <w:sz w:val="26"/>
          <w:szCs w:val="26"/>
        </w:rPr>
        <w:t>Asimismo, el</w:t>
      </w:r>
      <w:r w:rsidR="008A6C52">
        <w:rPr>
          <w:rFonts w:cs="Arial"/>
          <w:sz w:val="26"/>
          <w:szCs w:val="26"/>
        </w:rPr>
        <w:t xml:space="preserve"> Decreto N°</w:t>
      </w:r>
      <w:r w:rsidR="008A6C52" w:rsidRPr="00B825C4">
        <w:rPr>
          <w:rFonts w:cs="Arial"/>
          <w:sz w:val="26"/>
          <w:szCs w:val="26"/>
        </w:rPr>
        <w:t xml:space="preserve"> LXVI/RFLEY/0513/2019 I P.O.</w:t>
      </w:r>
      <w:r w:rsidR="0017316E">
        <w:rPr>
          <w:rFonts w:cs="Arial"/>
          <w:sz w:val="26"/>
          <w:szCs w:val="26"/>
        </w:rPr>
        <w:t xml:space="preserve"> (</w:t>
      </w:r>
      <w:r w:rsidR="0017316E" w:rsidRPr="008A6C52">
        <w:rPr>
          <w:rFonts w:cs="Arial"/>
          <w:i/>
          <w:sz w:val="26"/>
          <w:szCs w:val="26"/>
        </w:rPr>
        <w:t>supra</w:t>
      </w:r>
      <w:r w:rsidR="0017316E">
        <w:rPr>
          <w:rFonts w:cs="Arial"/>
          <w:sz w:val="26"/>
          <w:szCs w:val="26"/>
        </w:rPr>
        <w:t xml:space="preserve"> párr. 20. </w:t>
      </w:r>
      <w:r w:rsidR="0017316E">
        <w:rPr>
          <w:rFonts w:cs="Arial"/>
          <w:b/>
          <w:sz w:val="26"/>
          <w:szCs w:val="26"/>
        </w:rPr>
        <w:t>B</w:t>
      </w:r>
      <w:r w:rsidR="0017316E">
        <w:rPr>
          <w:rFonts w:cs="Arial"/>
          <w:sz w:val="26"/>
          <w:szCs w:val="26"/>
        </w:rPr>
        <w:t>)</w:t>
      </w:r>
      <w:r w:rsidR="004C4044">
        <w:rPr>
          <w:rFonts w:cs="Arial"/>
          <w:sz w:val="26"/>
          <w:szCs w:val="26"/>
        </w:rPr>
        <w:t xml:space="preserve"> modificó </w:t>
      </w:r>
      <w:r w:rsidR="002715E4">
        <w:rPr>
          <w:rFonts w:cs="Arial"/>
          <w:sz w:val="26"/>
          <w:szCs w:val="26"/>
        </w:rPr>
        <w:t xml:space="preserve">diversos preceptos de </w:t>
      </w:r>
      <w:r w:rsidR="004C4044">
        <w:rPr>
          <w:rFonts w:cs="Arial"/>
          <w:sz w:val="26"/>
          <w:szCs w:val="26"/>
        </w:rPr>
        <w:t>la Ley Orgánica del Poder Ejecutivo</w:t>
      </w:r>
      <w:r w:rsidR="00A147D3">
        <w:rPr>
          <w:rFonts w:cs="Arial"/>
          <w:sz w:val="26"/>
          <w:szCs w:val="26"/>
        </w:rPr>
        <w:t>,</w:t>
      </w:r>
      <w:r w:rsidR="00A961F9" w:rsidRPr="00A961F9">
        <w:rPr>
          <w:rFonts w:cs="Arial"/>
          <w:sz w:val="26"/>
          <w:szCs w:val="26"/>
        </w:rPr>
        <w:t xml:space="preserve"> </w:t>
      </w:r>
      <w:r w:rsidR="00A961F9">
        <w:rPr>
          <w:rFonts w:cs="Arial"/>
          <w:sz w:val="26"/>
          <w:szCs w:val="26"/>
        </w:rPr>
        <w:t>la antigua Ley Orgánica del Poder Judicial,</w:t>
      </w:r>
      <w:r w:rsidR="00A147D3">
        <w:rPr>
          <w:rFonts w:cs="Arial"/>
          <w:sz w:val="26"/>
          <w:szCs w:val="26"/>
        </w:rPr>
        <w:t xml:space="preserve"> la </w:t>
      </w:r>
      <w:r w:rsidR="00A961F9" w:rsidRPr="001D7F75">
        <w:rPr>
          <w:rFonts w:cs="Arial"/>
          <w:sz w:val="26"/>
          <w:szCs w:val="26"/>
        </w:rPr>
        <w:t>Ley de De</w:t>
      </w:r>
      <w:r w:rsidR="00A961F9">
        <w:rPr>
          <w:rFonts w:cs="Arial"/>
          <w:sz w:val="26"/>
          <w:szCs w:val="26"/>
        </w:rPr>
        <w:t>rechos de los Pueblos Indígenas</w:t>
      </w:r>
      <w:r w:rsidR="00303B1A">
        <w:rPr>
          <w:rFonts w:cs="Arial"/>
          <w:sz w:val="26"/>
          <w:szCs w:val="26"/>
        </w:rPr>
        <w:t xml:space="preserve"> y la Ley Electoral, todas del Estado de Chihuahua</w:t>
      </w:r>
      <w:r w:rsidR="0017316E">
        <w:rPr>
          <w:rFonts w:cs="Arial"/>
          <w:sz w:val="26"/>
          <w:szCs w:val="26"/>
        </w:rPr>
        <w:t>.</w:t>
      </w:r>
      <w:r w:rsidR="00A147D3">
        <w:rPr>
          <w:rFonts w:cs="Arial"/>
          <w:sz w:val="26"/>
          <w:szCs w:val="26"/>
        </w:rPr>
        <w:t xml:space="preserve"> </w:t>
      </w:r>
      <w:r w:rsidR="00A961F9">
        <w:rPr>
          <w:rFonts w:cs="Arial"/>
          <w:sz w:val="26"/>
          <w:szCs w:val="26"/>
        </w:rPr>
        <w:t>A través de</w:t>
      </w:r>
      <w:r w:rsidR="00A147D3">
        <w:rPr>
          <w:rFonts w:cs="Arial"/>
          <w:sz w:val="26"/>
          <w:szCs w:val="26"/>
        </w:rPr>
        <w:t xml:space="preserve"> este instrumento se establecieron nuevas obligaciones para la Fiscalía General del Estado y atribuciones para la Comisión Estatal de Pueblos </w:t>
      </w:r>
      <w:r w:rsidR="00A147D3">
        <w:rPr>
          <w:rFonts w:cs="Arial"/>
          <w:sz w:val="26"/>
          <w:szCs w:val="26"/>
        </w:rPr>
        <w:lastRenderedPageBreak/>
        <w:t>Indígenas</w:t>
      </w:r>
      <w:r w:rsidR="00A961F9">
        <w:rPr>
          <w:rFonts w:cs="Arial"/>
          <w:sz w:val="26"/>
          <w:szCs w:val="26"/>
        </w:rPr>
        <w:t xml:space="preserve"> relacionadas con la asistencia de personas traductoras e intérpretes</w:t>
      </w:r>
      <w:r w:rsidR="006E344B">
        <w:rPr>
          <w:rFonts w:cs="Arial"/>
          <w:sz w:val="26"/>
          <w:szCs w:val="26"/>
        </w:rPr>
        <w:t xml:space="preserve"> a los pueblos indígenas de la entidad</w:t>
      </w:r>
      <w:r w:rsidR="00A147D3" w:rsidRPr="00894B94">
        <w:rPr>
          <w:rStyle w:val="Refdenotaalpie"/>
          <w:rFonts w:cs="Arial"/>
          <w:sz w:val="26"/>
          <w:szCs w:val="26"/>
        </w:rPr>
        <w:footnoteReference w:id="69"/>
      </w:r>
      <w:r w:rsidR="00C80D89">
        <w:rPr>
          <w:rFonts w:cs="Arial"/>
          <w:sz w:val="26"/>
          <w:szCs w:val="26"/>
        </w:rPr>
        <w:t>;</w:t>
      </w:r>
      <w:r w:rsidR="00A961F9" w:rsidRPr="00A961F9">
        <w:rPr>
          <w:rFonts w:cs="Arial"/>
          <w:sz w:val="26"/>
          <w:szCs w:val="26"/>
        </w:rPr>
        <w:t xml:space="preserve"> </w:t>
      </w:r>
      <w:r w:rsidR="00A961F9">
        <w:rPr>
          <w:rFonts w:cs="Arial"/>
          <w:sz w:val="26"/>
          <w:szCs w:val="26"/>
        </w:rPr>
        <w:t>se creó un “Centro de Personas Traductoras e Intérpretes” con mandato específico para asistir a los pueblos indígenas</w:t>
      </w:r>
      <w:r w:rsidR="002E3CBA">
        <w:rPr>
          <w:rFonts w:cs="Arial"/>
          <w:sz w:val="26"/>
          <w:szCs w:val="26"/>
        </w:rPr>
        <w:t xml:space="preserve"> en los asuntos que tuvieran consecuencias jurídicas para ellos</w:t>
      </w:r>
      <w:r w:rsidR="00A961F9" w:rsidRPr="00894B94">
        <w:rPr>
          <w:rStyle w:val="Refdenotaalpie"/>
          <w:rFonts w:cs="Arial"/>
          <w:sz w:val="26"/>
          <w:szCs w:val="26"/>
        </w:rPr>
        <w:footnoteReference w:id="70"/>
      </w:r>
      <w:r w:rsidR="00A961F9">
        <w:rPr>
          <w:rFonts w:cs="Arial"/>
          <w:sz w:val="26"/>
          <w:szCs w:val="26"/>
        </w:rPr>
        <w:t>;</w:t>
      </w:r>
      <w:r w:rsidR="00C80D89">
        <w:rPr>
          <w:rFonts w:cs="Arial"/>
          <w:sz w:val="26"/>
          <w:szCs w:val="26"/>
        </w:rPr>
        <w:t xml:space="preserve"> </w:t>
      </w:r>
      <w:r w:rsidR="00A961F9">
        <w:rPr>
          <w:rFonts w:cs="Arial"/>
          <w:sz w:val="26"/>
          <w:szCs w:val="26"/>
        </w:rPr>
        <w:t xml:space="preserve">se dispuso </w:t>
      </w:r>
      <w:r w:rsidR="002E3CBA">
        <w:rPr>
          <w:rFonts w:cs="Arial"/>
          <w:sz w:val="26"/>
          <w:szCs w:val="26"/>
        </w:rPr>
        <w:t>la determinación anual</w:t>
      </w:r>
      <w:r w:rsidR="00A961F9">
        <w:rPr>
          <w:rFonts w:cs="Arial"/>
          <w:sz w:val="26"/>
          <w:szCs w:val="26"/>
        </w:rPr>
        <w:t xml:space="preserve"> de una partida presupuestal para la institución especializada en materia de traducción e interpretación</w:t>
      </w:r>
      <w:r w:rsidR="002E3CBA">
        <w:rPr>
          <w:rFonts w:cs="Arial"/>
          <w:sz w:val="26"/>
          <w:szCs w:val="26"/>
        </w:rPr>
        <w:t xml:space="preserve"> a fin de que pueda cumplir las funciones legales relacionadas con los derechos de los pueblos indígenas</w:t>
      </w:r>
      <w:r w:rsidR="00A961F9" w:rsidRPr="00894B94">
        <w:rPr>
          <w:rStyle w:val="Refdenotaalpie"/>
          <w:rFonts w:cs="Arial"/>
          <w:sz w:val="26"/>
          <w:szCs w:val="26"/>
        </w:rPr>
        <w:footnoteReference w:id="71"/>
      </w:r>
      <w:r w:rsidR="002E3CBA">
        <w:rPr>
          <w:rFonts w:cs="Arial"/>
          <w:sz w:val="26"/>
          <w:szCs w:val="26"/>
        </w:rPr>
        <w:t>, y</w:t>
      </w:r>
      <w:r w:rsidR="00C80D89">
        <w:rPr>
          <w:rFonts w:cs="Arial"/>
          <w:sz w:val="26"/>
          <w:szCs w:val="26"/>
        </w:rPr>
        <w:t xml:space="preserve"> se</w:t>
      </w:r>
      <w:r w:rsidR="002E3CBA">
        <w:rPr>
          <w:rFonts w:cs="Arial"/>
          <w:sz w:val="26"/>
          <w:szCs w:val="26"/>
        </w:rPr>
        <w:t xml:space="preserve"> impuso </w:t>
      </w:r>
      <w:r w:rsidR="006E344B">
        <w:rPr>
          <w:rFonts w:cs="Arial"/>
          <w:sz w:val="26"/>
          <w:szCs w:val="26"/>
        </w:rPr>
        <w:t xml:space="preserve">al Órgano Interno de Control del Instituto Estatal Electoral </w:t>
      </w:r>
      <w:r w:rsidR="00C80D89">
        <w:rPr>
          <w:rFonts w:cs="Arial"/>
          <w:sz w:val="26"/>
          <w:szCs w:val="26"/>
        </w:rPr>
        <w:t xml:space="preserve">la </w:t>
      </w:r>
      <w:r w:rsidR="006E344B">
        <w:rPr>
          <w:rFonts w:cs="Arial"/>
          <w:sz w:val="26"/>
          <w:szCs w:val="26"/>
        </w:rPr>
        <w:t xml:space="preserve">obligación de garantizar que las personas vinculadas en un procedimiento de responsabilidades </w:t>
      </w:r>
      <w:r w:rsidR="00A128CD">
        <w:rPr>
          <w:rFonts w:cs="Arial"/>
          <w:sz w:val="26"/>
          <w:szCs w:val="26"/>
        </w:rPr>
        <w:t xml:space="preserve">administrativas que se </w:t>
      </w:r>
      <w:proofErr w:type="spellStart"/>
      <w:r w:rsidR="00A128CD">
        <w:rPr>
          <w:rFonts w:cs="Arial"/>
          <w:sz w:val="26"/>
          <w:szCs w:val="26"/>
        </w:rPr>
        <w:t>auto</w:t>
      </w:r>
      <w:r w:rsidR="006E344B">
        <w:rPr>
          <w:rFonts w:cs="Arial"/>
          <w:sz w:val="26"/>
          <w:szCs w:val="26"/>
        </w:rPr>
        <w:t>adscriban</w:t>
      </w:r>
      <w:proofErr w:type="spellEnd"/>
      <w:r w:rsidR="006E344B">
        <w:rPr>
          <w:rFonts w:cs="Arial"/>
          <w:sz w:val="26"/>
          <w:szCs w:val="26"/>
        </w:rPr>
        <w:t xml:space="preserve"> como indígenas</w:t>
      </w:r>
      <w:r w:rsidR="006E344B" w:rsidRPr="006E344B">
        <w:rPr>
          <w:rFonts w:cs="Arial"/>
          <w:sz w:val="26"/>
          <w:szCs w:val="26"/>
        </w:rPr>
        <w:t xml:space="preserve"> </w:t>
      </w:r>
      <w:r w:rsidR="006E344B">
        <w:rPr>
          <w:rFonts w:cs="Arial"/>
          <w:sz w:val="26"/>
          <w:szCs w:val="26"/>
        </w:rPr>
        <w:t>cuenten con la asistencia de</w:t>
      </w:r>
      <w:r w:rsidR="00795887">
        <w:rPr>
          <w:rFonts w:cs="Arial"/>
          <w:sz w:val="26"/>
          <w:szCs w:val="26"/>
        </w:rPr>
        <w:t xml:space="preserve"> </w:t>
      </w:r>
      <w:r w:rsidR="006E344B">
        <w:rPr>
          <w:rFonts w:cs="Arial"/>
          <w:sz w:val="26"/>
          <w:szCs w:val="26"/>
        </w:rPr>
        <w:t>persona defensora, traductora o intérprete</w:t>
      </w:r>
      <w:r w:rsidR="00A961F9" w:rsidRPr="00894B94">
        <w:rPr>
          <w:rStyle w:val="Refdenotaalpie"/>
          <w:rFonts w:cs="Arial"/>
          <w:sz w:val="26"/>
          <w:szCs w:val="26"/>
        </w:rPr>
        <w:footnoteReference w:id="72"/>
      </w:r>
      <w:r w:rsidR="00A147D3">
        <w:rPr>
          <w:rFonts w:cs="Arial"/>
          <w:sz w:val="26"/>
          <w:szCs w:val="26"/>
        </w:rPr>
        <w:t>.</w:t>
      </w:r>
      <w:r w:rsidR="0017316E">
        <w:rPr>
          <w:rFonts w:cs="Arial"/>
          <w:sz w:val="26"/>
          <w:szCs w:val="26"/>
        </w:rPr>
        <w:t xml:space="preserve"> </w:t>
      </w:r>
      <w:r w:rsidR="00561905">
        <w:rPr>
          <w:rFonts w:cs="Arial"/>
          <w:sz w:val="26"/>
          <w:szCs w:val="26"/>
        </w:rPr>
        <w:t>Finalmente</w:t>
      </w:r>
      <w:r w:rsidR="00303B1A">
        <w:rPr>
          <w:rFonts w:cs="Arial"/>
          <w:sz w:val="26"/>
          <w:szCs w:val="26"/>
        </w:rPr>
        <w:t>, e</w:t>
      </w:r>
      <w:r w:rsidR="0017316E">
        <w:rPr>
          <w:rFonts w:cs="Arial"/>
          <w:sz w:val="26"/>
          <w:szCs w:val="26"/>
        </w:rPr>
        <w:t>l Decreto N° LXVI/RFLEY/0665/2020 III P.E. (</w:t>
      </w:r>
      <w:r w:rsidR="0017316E" w:rsidRPr="008A6C52">
        <w:rPr>
          <w:rFonts w:cs="Arial"/>
          <w:i/>
          <w:sz w:val="26"/>
          <w:szCs w:val="26"/>
        </w:rPr>
        <w:t>supra</w:t>
      </w:r>
      <w:r w:rsidR="0017316E">
        <w:rPr>
          <w:rFonts w:cs="Arial"/>
          <w:sz w:val="26"/>
          <w:szCs w:val="26"/>
        </w:rPr>
        <w:t xml:space="preserve"> párr. 20. </w:t>
      </w:r>
      <w:r w:rsidR="0017316E">
        <w:rPr>
          <w:rFonts w:cs="Arial"/>
          <w:b/>
          <w:sz w:val="26"/>
          <w:szCs w:val="26"/>
        </w:rPr>
        <w:t>C</w:t>
      </w:r>
      <w:r w:rsidR="0017316E">
        <w:rPr>
          <w:rFonts w:cs="Arial"/>
          <w:sz w:val="26"/>
          <w:szCs w:val="26"/>
        </w:rPr>
        <w:t xml:space="preserve">) </w:t>
      </w:r>
      <w:r w:rsidR="00C80D89">
        <w:rPr>
          <w:rFonts w:cs="Arial"/>
          <w:sz w:val="26"/>
          <w:szCs w:val="26"/>
        </w:rPr>
        <w:t>adicionó</w:t>
      </w:r>
      <w:r w:rsidR="004C4044">
        <w:rPr>
          <w:rFonts w:cs="Arial"/>
          <w:sz w:val="26"/>
          <w:szCs w:val="26"/>
        </w:rPr>
        <w:t xml:space="preserve"> la nueva Ley Orgánica del Poder Judicial para establecer</w:t>
      </w:r>
      <w:r>
        <w:rPr>
          <w:rFonts w:cs="Arial"/>
          <w:sz w:val="26"/>
          <w:szCs w:val="26"/>
        </w:rPr>
        <w:t xml:space="preserve"> nuevamente</w:t>
      </w:r>
      <w:r w:rsidR="004C4044">
        <w:rPr>
          <w:rFonts w:cs="Arial"/>
          <w:sz w:val="26"/>
          <w:szCs w:val="26"/>
        </w:rPr>
        <w:t xml:space="preserve"> un </w:t>
      </w:r>
      <w:r w:rsidR="005F2CD1">
        <w:rPr>
          <w:rFonts w:cs="Arial"/>
          <w:sz w:val="26"/>
          <w:szCs w:val="26"/>
        </w:rPr>
        <w:t>“</w:t>
      </w:r>
      <w:r w:rsidR="004C4044">
        <w:rPr>
          <w:rFonts w:cs="Arial"/>
          <w:sz w:val="26"/>
          <w:szCs w:val="26"/>
        </w:rPr>
        <w:t>Centro de Personas Traductoras e Intérpretes</w:t>
      </w:r>
      <w:r w:rsidR="005F2CD1">
        <w:rPr>
          <w:rFonts w:cs="Arial"/>
          <w:sz w:val="26"/>
          <w:szCs w:val="26"/>
        </w:rPr>
        <w:t>”</w:t>
      </w:r>
      <w:r w:rsidR="00A147D3">
        <w:rPr>
          <w:rFonts w:cs="Arial"/>
          <w:sz w:val="26"/>
          <w:szCs w:val="26"/>
        </w:rPr>
        <w:t xml:space="preserve"> con mandato para</w:t>
      </w:r>
      <w:r w:rsidR="00C80D89">
        <w:rPr>
          <w:rFonts w:cs="Arial"/>
          <w:sz w:val="26"/>
          <w:szCs w:val="26"/>
        </w:rPr>
        <w:t xml:space="preserve"> asistir, entre otro</w:t>
      </w:r>
      <w:r w:rsidR="00A147D3">
        <w:rPr>
          <w:rFonts w:cs="Arial"/>
          <w:sz w:val="26"/>
          <w:szCs w:val="26"/>
        </w:rPr>
        <w:t>s</w:t>
      </w:r>
      <w:r w:rsidR="00C80D89">
        <w:rPr>
          <w:rFonts w:cs="Arial"/>
          <w:sz w:val="26"/>
          <w:szCs w:val="26"/>
        </w:rPr>
        <w:t xml:space="preserve"> grupos</w:t>
      </w:r>
      <w:r>
        <w:rPr>
          <w:rFonts w:cs="Arial"/>
          <w:sz w:val="26"/>
          <w:szCs w:val="26"/>
        </w:rPr>
        <w:t xml:space="preserve"> vulnerables</w:t>
      </w:r>
      <w:r w:rsidR="00A147D3">
        <w:rPr>
          <w:rFonts w:cs="Arial"/>
          <w:sz w:val="26"/>
          <w:szCs w:val="26"/>
        </w:rPr>
        <w:t>,</w:t>
      </w:r>
      <w:r w:rsidR="00C80D89">
        <w:rPr>
          <w:rFonts w:cs="Arial"/>
          <w:sz w:val="26"/>
          <w:szCs w:val="26"/>
        </w:rPr>
        <w:t xml:space="preserve"> a</w:t>
      </w:r>
      <w:r w:rsidR="00A147D3">
        <w:rPr>
          <w:rFonts w:cs="Arial"/>
          <w:sz w:val="26"/>
          <w:szCs w:val="26"/>
        </w:rPr>
        <w:t xml:space="preserve"> l</w:t>
      </w:r>
      <w:r w:rsidR="00795887">
        <w:rPr>
          <w:rFonts w:cs="Arial"/>
          <w:sz w:val="26"/>
          <w:szCs w:val="26"/>
        </w:rPr>
        <w:t>os pueblos y comunidades</w:t>
      </w:r>
      <w:r w:rsidR="00A147D3">
        <w:rPr>
          <w:rFonts w:cs="Arial"/>
          <w:sz w:val="26"/>
          <w:szCs w:val="26"/>
        </w:rPr>
        <w:t xml:space="preserve"> indígenas</w:t>
      </w:r>
      <w:r w:rsidR="002E3CBA">
        <w:rPr>
          <w:rFonts w:cs="Arial"/>
          <w:sz w:val="26"/>
          <w:szCs w:val="26"/>
        </w:rPr>
        <w:t xml:space="preserve">, a fin de garantizar su </w:t>
      </w:r>
      <w:r w:rsidR="00795887">
        <w:rPr>
          <w:rFonts w:cs="Arial"/>
          <w:sz w:val="26"/>
          <w:szCs w:val="26"/>
        </w:rPr>
        <w:t xml:space="preserve">derecho de </w:t>
      </w:r>
      <w:r w:rsidR="002E3CBA">
        <w:rPr>
          <w:rFonts w:cs="Arial"/>
          <w:sz w:val="26"/>
          <w:szCs w:val="26"/>
        </w:rPr>
        <w:t>acceso a la justicia</w:t>
      </w:r>
      <w:r w:rsidR="00303B1A" w:rsidRPr="00894B94">
        <w:rPr>
          <w:rStyle w:val="Refdenotaalpie"/>
          <w:rFonts w:cs="Arial"/>
          <w:sz w:val="26"/>
          <w:szCs w:val="26"/>
        </w:rPr>
        <w:footnoteReference w:id="73"/>
      </w:r>
      <w:r w:rsidR="0017316E">
        <w:rPr>
          <w:rFonts w:cs="Arial"/>
          <w:sz w:val="26"/>
          <w:szCs w:val="26"/>
        </w:rPr>
        <w:t>.</w:t>
      </w:r>
      <w:r w:rsidR="00561905">
        <w:rPr>
          <w:bCs/>
          <w:sz w:val="26"/>
          <w:szCs w:val="26"/>
          <w:lang w:val="es-MX"/>
        </w:rPr>
        <w:t xml:space="preserve"> Como puede observarse, e</w:t>
      </w:r>
      <w:r w:rsidR="000313F6">
        <w:rPr>
          <w:bCs/>
          <w:sz w:val="26"/>
          <w:szCs w:val="26"/>
          <w:lang w:val="es-MX"/>
        </w:rPr>
        <w:t>n la medida que t</w:t>
      </w:r>
      <w:r w:rsidR="00D05E2E">
        <w:rPr>
          <w:bCs/>
          <w:sz w:val="26"/>
          <w:szCs w:val="26"/>
          <w:lang w:val="es-MX"/>
        </w:rPr>
        <w:t xml:space="preserve">odos </w:t>
      </w:r>
      <w:r w:rsidR="00C80D89">
        <w:rPr>
          <w:bCs/>
          <w:sz w:val="26"/>
          <w:szCs w:val="26"/>
          <w:lang w:val="es-MX"/>
        </w:rPr>
        <w:t>estos instrumentos</w:t>
      </w:r>
      <w:r w:rsidR="00D05E2E">
        <w:rPr>
          <w:bCs/>
          <w:sz w:val="26"/>
          <w:szCs w:val="26"/>
          <w:lang w:val="es-MX"/>
        </w:rPr>
        <w:t xml:space="preserve"> involucran de un modo u otro la garantía del derecho de acceso a la justicia</w:t>
      </w:r>
      <w:r w:rsidR="000313F6">
        <w:rPr>
          <w:bCs/>
          <w:sz w:val="26"/>
          <w:szCs w:val="26"/>
          <w:lang w:val="es-MX"/>
        </w:rPr>
        <w:t xml:space="preserve"> de los pueblos y comunidades indígenas de la entidad, representan medidas legislativas susceptibles de afectar</w:t>
      </w:r>
      <w:r>
        <w:rPr>
          <w:bCs/>
          <w:sz w:val="26"/>
          <w:szCs w:val="26"/>
          <w:lang w:val="es-MX"/>
        </w:rPr>
        <w:t>los</w:t>
      </w:r>
      <w:r w:rsidR="000313F6">
        <w:rPr>
          <w:bCs/>
          <w:sz w:val="26"/>
          <w:szCs w:val="26"/>
          <w:lang w:val="es-MX"/>
        </w:rPr>
        <w:t xml:space="preserve"> directamente</w:t>
      </w:r>
      <w:r w:rsidR="00561905">
        <w:rPr>
          <w:bCs/>
          <w:sz w:val="26"/>
          <w:szCs w:val="26"/>
          <w:lang w:val="es-MX"/>
        </w:rPr>
        <w:t>.</w:t>
      </w:r>
    </w:p>
    <w:p w:rsidR="006D1CB0" w:rsidRDefault="006D1CB0" w:rsidP="001D7F75">
      <w:pPr>
        <w:pStyle w:val="corte4fondo"/>
        <w:numPr>
          <w:ilvl w:val="0"/>
          <w:numId w:val="1"/>
        </w:numPr>
        <w:tabs>
          <w:tab w:val="clear" w:pos="-3"/>
          <w:tab w:val="left" w:pos="0"/>
        </w:tabs>
        <w:spacing w:after="360" w:line="360" w:lineRule="auto"/>
        <w:ind w:left="0" w:hanging="567"/>
        <w:rPr>
          <w:bCs/>
          <w:sz w:val="26"/>
          <w:szCs w:val="26"/>
          <w:lang w:val="es-MX"/>
        </w:rPr>
      </w:pPr>
      <w:r>
        <w:rPr>
          <w:bCs/>
          <w:sz w:val="26"/>
          <w:szCs w:val="26"/>
          <w:lang w:val="es-MX"/>
        </w:rPr>
        <w:t>Por otro lado</w:t>
      </w:r>
      <w:r w:rsidR="00D05E2E">
        <w:rPr>
          <w:bCs/>
          <w:sz w:val="26"/>
          <w:szCs w:val="26"/>
          <w:lang w:val="es-MX"/>
        </w:rPr>
        <w:t>,</w:t>
      </w:r>
      <w:r w:rsidR="00561905" w:rsidRPr="00561905">
        <w:rPr>
          <w:rFonts w:cs="Arial"/>
          <w:sz w:val="26"/>
          <w:szCs w:val="26"/>
        </w:rPr>
        <w:t xml:space="preserve"> </w:t>
      </w:r>
      <w:r w:rsidR="00561905">
        <w:rPr>
          <w:rFonts w:cs="Arial"/>
          <w:sz w:val="26"/>
          <w:szCs w:val="26"/>
        </w:rPr>
        <w:t>el Decreto N°</w:t>
      </w:r>
      <w:r w:rsidR="00561905" w:rsidRPr="00B825C4">
        <w:rPr>
          <w:rFonts w:cs="Arial"/>
          <w:sz w:val="26"/>
          <w:szCs w:val="26"/>
        </w:rPr>
        <w:t xml:space="preserve"> </w:t>
      </w:r>
      <w:r w:rsidR="00561905">
        <w:rPr>
          <w:rFonts w:cs="Arial"/>
          <w:sz w:val="26"/>
          <w:szCs w:val="26"/>
        </w:rPr>
        <w:t>LXVI/RFLEY/0666/2020 III P.E. (</w:t>
      </w:r>
      <w:r w:rsidR="00561905" w:rsidRPr="008A6C52">
        <w:rPr>
          <w:rFonts w:cs="Arial"/>
          <w:i/>
          <w:sz w:val="26"/>
          <w:szCs w:val="26"/>
        </w:rPr>
        <w:t>supra</w:t>
      </w:r>
      <w:r w:rsidR="00561905">
        <w:rPr>
          <w:rFonts w:cs="Arial"/>
          <w:sz w:val="26"/>
          <w:szCs w:val="26"/>
        </w:rPr>
        <w:t xml:space="preserve"> párr. 20. </w:t>
      </w:r>
      <w:r w:rsidR="00561905">
        <w:rPr>
          <w:rFonts w:cs="Arial"/>
          <w:b/>
          <w:sz w:val="26"/>
          <w:szCs w:val="26"/>
        </w:rPr>
        <w:t>D</w:t>
      </w:r>
      <w:r w:rsidR="00561905">
        <w:rPr>
          <w:rFonts w:cs="Arial"/>
          <w:sz w:val="26"/>
          <w:szCs w:val="26"/>
        </w:rPr>
        <w:t xml:space="preserve">) adicionó el </w:t>
      </w:r>
      <w:r w:rsidR="00561905" w:rsidRPr="00A95E43">
        <w:rPr>
          <w:rFonts w:cs="Arial"/>
          <w:sz w:val="26"/>
          <w:szCs w:val="26"/>
        </w:rPr>
        <w:t>artículo 18 de la Ley de Derechos de los Pueblos Indígenas del Estado de Chihuahua</w:t>
      </w:r>
      <w:r w:rsidR="00561905">
        <w:rPr>
          <w:rFonts w:cs="Arial"/>
          <w:sz w:val="26"/>
          <w:szCs w:val="26"/>
        </w:rPr>
        <w:t>. Este instrumento</w:t>
      </w:r>
      <w:r w:rsidR="00C2723C">
        <w:rPr>
          <w:rFonts w:cs="Arial"/>
          <w:sz w:val="26"/>
          <w:szCs w:val="26"/>
        </w:rPr>
        <w:t xml:space="preserve"> legal</w:t>
      </w:r>
      <w:r w:rsidR="00DB66F8">
        <w:rPr>
          <w:rFonts w:cs="Arial"/>
          <w:sz w:val="26"/>
          <w:szCs w:val="26"/>
        </w:rPr>
        <w:t xml:space="preserve"> </w:t>
      </w:r>
      <w:r w:rsidR="005F2CD1">
        <w:rPr>
          <w:rFonts w:cs="Arial"/>
          <w:sz w:val="26"/>
          <w:szCs w:val="26"/>
        </w:rPr>
        <w:t xml:space="preserve">dispone que la información que </w:t>
      </w:r>
      <w:r w:rsidR="005F2CD1" w:rsidRPr="003A2C77">
        <w:rPr>
          <w:rFonts w:cs="Arial"/>
          <w:sz w:val="26"/>
          <w:szCs w:val="26"/>
          <w:lang w:val="es-MX"/>
        </w:rPr>
        <w:t>se difunda en las campañas de salud, tratamientos médicos o quirúrgicos a los pacientes, incluidas l</w:t>
      </w:r>
      <w:r w:rsidR="005F2CD1">
        <w:rPr>
          <w:rFonts w:cs="Arial"/>
          <w:sz w:val="26"/>
          <w:szCs w:val="26"/>
          <w:lang w:val="es-MX"/>
        </w:rPr>
        <w:t>as autorizaciones para recibir é</w:t>
      </w:r>
      <w:r w:rsidR="005F2CD1" w:rsidRPr="003A2C77">
        <w:rPr>
          <w:rFonts w:cs="Arial"/>
          <w:sz w:val="26"/>
          <w:szCs w:val="26"/>
          <w:lang w:val="es-MX"/>
        </w:rPr>
        <w:t>stos, deberá traducirse a la lengua materna de acuerdo al pueblo indígena de que se trate</w:t>
      </w:r>
      <w:r w:rsidR="00561905" w:rsidRPr="00894B94">
        <w:rPr>
          <w:rStyle w:val="Refdenotaalpie"/>
          <w:rFonts w:cs="Arial"/>
          <w:sz w:val="26"/>
          <w:szCs w:val="26"/>
        </w:rPr>
        <w:footnoteReference w:id="74"/>
      </w:r>
      <w:r w:rsidR="005F2CD1">
        <w:rPr>
          <w:rFonts w:cs="Arial"/>
          <w:sz w:val="26"/>
          <w:szCs w:val="26"/>
          <w:lang w:val="es-MX"/>
        </w:rPr>
        <w:t>.</w:t>
      </w:r>
      <w:r w:rsidR="00B56BE0">
        <w:rPr>
          <w:bCs/>
          <w:sz w:val="26"/>
          <w:szCs w:val="26"/>
          <w:lang w:val="es-MX"/>
        </w:rPr>
        <w:t xml:space="preserve"> </w:t>
      </w:r>
      <w:r w:rsidR="00DB66F8">
        <w:rPr>
          <w:bCs/>
          <w:sz w:val="26"/>
          <w:szCs w:val="26"/>
          <w:lang w:val="es-MX"/>
        </w:rPr>
        <w:t>Es evidente, por tanto</w:t>
      </w:r>
      <w:r w:rsidR="00C2723C">
        <w:rPr>
          <w:bCs/>
          <w:sz w:val="26"/>
          <w:szCs w:val="26"/>
          <w:lang w:val="es-MX"/>
        </w:rPr>
        <w:t>,</w:t>
      </w:r>
      <w:r w:rsidR="00DB66F8">
        <w:rPr>
          <w:bCs/>
          <w:sz w:val="26"/>
          <w:szCs w:val="26"/>
          <w:lang w:val="es-MX"/>
        </w:rPr>
        <w:t xml:space="preserve"> que el</w:t>
      </w:r>
      <w:r w:rsidR="00561905">
        <w:rPr>
          <w:bCs/>
          <w:sz w:val="26"/>
          <w:szCs w:val="26"/>
          <w:lang w:val="es-MX"/>
        </w:rPr>
        <w:t xml:space="preserve"> decreto</w:t>
      </w:r>
      <w:r w:rsidR="00DB66F8">
        <w:rPr>
          <w:bCs/>
          <w:sz w:val="26"/>
          <w:szCs w:val="26"/>
          <w:lang w:val="es-MX"/>
        </w:rPr>
        <w:t xml:space="preserve"> impugnado</w:t>
      </w:r>
      <w:r w:rsidR="00B56BE0">
        <w:rPr>
          <w:bCs/>
          <w:sz w:val="26"/>
          <w:szCs w:val="26"/>
          <w:lang w:val="es-MX"/>
        </w:rPr>
        <w:t xml:space="preserve"> incide directamente en la garantía del </w:t>
      </w:r>
      <w:r w:rsidR="00B56BE0" w:rsidRPr="00597A79">
        <w:rPr>
          <w:bCs/>
          <w:i/>
          <w:sz w:val="26"/>
          <w:szCs w:val="26"/>
          <w:lang w:val="es-MX"/>
        </w:rPr>
        <w:t>derecho a la salud</w:t>
      </w:r>
      <w:r w:rsidR="00A147D3">
        <w:rPr>
          <w:bCs/>
          <w:sz w:val="26"/>
          <w:szCs w:val="26"/>
          <w:lang w:val="es-MX"/>
        </w:rPr>
        <w:t xml:space="preserve"> de estas poblaciones</w:t>
      </w:r>
      <w:r w:rsidR="00C2723C">
        <w:rPr>
          <w:bCs/>
          <w:sz w:val="26"/>
          <w:szCs w:val="26"/>
          <w:lang w:val="es-MX"/>
        </w:rPr>
        <w:t xml:space="preserve"> en </w:t>
      </w:r>
      <w:r w:rsidR="00C2723C">
        <w:rPr>
          <w:bCs/>
          <w:sz w:val="26"/>
          <w:szCs w:val="26"/>
          <w:lang w:val="es-MX"/>
        </w:rPr>
        <w:lastRenderedPageBreak/>
        <w:t>el Estado de Chihuahua y, en esa medida,</w:t>
      </w:r>
      <w:r w:rsidR="00A147D3">
        <w:rPr>
          <w:bCs/>
          <w:sz w:val="26"/>
          <w:szCs w:val="26"/>
          <w:lang w:val="es-MX"/>
        </w:rPr>
        <w:t xml:space="preserve"> también es susceptible de afectar directamente</w:t>
      </w:r>
      <w:r w:rsidR="00C80D89">
        <w:rPr>
          <w:bCs/>
          <w:sz w:val="26"/>
          <w:szCs w:val="26"/>
          <w:lang w:val="es-MX"/>
        </w:rPr>
        <w:t xml:space="preserve"> a los pueblos y comunidades indígenas de la entidad</w:t>
      </w:r>
      <w:r w:rsidR="00C2723C">
        <w:rPr>
          <w:bCs/>
          <w:sz w:val="26"/>
          <w:szCs w:val="26"/>
          <w:lang w:val="es-MX"/>
        </w:rPr>
        <w:t xml:space="preserve"> federativa</w:t>
      </w:r>
      <w:r w:rsidR="00C80D89">
        <w:rPr>
          <w:bCs/>
          <w:sz w:val="26"/>
          <w:szCs w:val="26"/>
          <w:lang w:val="es-MX"/>
        </w:rPr>
        <w:t xml:space="preserve"> en el sentido del artículo 6 del Convenio 169 de la OIT.</w:t>
      </w:r>
    </w:p>
    <w:p w:rsidR="001D7F75" w:rsidRDefault="001D7F75" w:rsidP="001D7F75">
      <w:pPr>
        <w:pStyle w:val="corte4fondo"/>
        <w:numPr>
          <w:ilvl w:val="0"/>
          <w:numId w:val="1"/>
        </w:numPr>
        <w:tabs>
          <w:tab w:val="clear" w:pos="-3"/>
          <w:tab w:val="left" w:pos="0"/>
        </w:tabs>
        <w:spacing w:after="360" w:line="360" w:lineRule="auto"/>
        <w:ind w:left="0" w:hanging="567"/>
        <w:rPr>
          <w:bCs/>
          <w:sz w:val="26"/>
          <w:szCs w:val="26"/>
          <w:lang w:val="es-MX"/>
        </w:rPr>
      </w:pPr>
      <w:r>
        <w:rPr>
          <w:bCs/>
          <w:sz w:val="26"/>
          <w:szCs w:val="26"/>
          <w:lang w:val="es-MX"/>
        </w:rPr>
        <w:t xml:space="preserve">Ante la verificación de </w:t>
      </w:r>
      <w:r w:rsidR="00D05E2E">
        <w:rPr>
          <w:bCs/>
          <w:sz w:val="26"/>
          <w:szCs w:val="26"/>
          <w:lang w:val="es-MX"/>
        </w:rPr>
        <w:t>que</w:t>
      </w:r>
      <w:r w:rsidR="000313F6" w:rsidRPr="000313F6">
        <w:rPr>
          <w:bCs/>
          <w:sz w:val="26"/>
          <w:szCs w:val="26"/>
          <w:lang w:val="es-MX"/>
        </w:rPr>
        <w:t xml:space="preserve"> </w:t>
      </w:r>
      <w:r w:rsidR="000313F6">
        <w:rPr>
          <w:bCs/>
          <w:sz w:val="26"/>
          <w:szCs w:val="26"/>
          <w:lang w:val="es-MX"/>
        </w:rPr>
        <w:t>todas las medidas legislativas impugnadas son susceptibles de afectar directamente a los pueblos y comunidades indígenas y, por tanto, de que</w:t>
      </w:r>
      <w:r w:rsidR="00D05E2E">
        <w:rPr>
          <w:bCs/>
          <w:sz w:val="26"/>
          <w:szCs w:val="26"/>
          <w:lang w:val="es-MX"/>
        </w:rPr>
        <w:t xml:space="preserve"> </w:t>
      </w:r>
      <w:r w:rsidR="00BF6D2E">
        <w:rPr>
          <w:bCs/>
          <w:sz w:val="26"/>
          <w:szCs w:val="26"/>
          <w:lang w:val="es-MX"/>
        </w:rPr>
        <w:t xml:space="preserve">en el presente caso </w:t>
      </w:r>
      <w:r w:rsidR="00D05E2E">
        <w:rPr>
          <w:bCs/>
          <w:sz w:val="26"/>
          <w:szCs w:val="26"/>
          <w:lang w:val="es-MX"/>
        </w:rPr>
        <w:t>existía la obligación</w:t>
      </w:r>
      <w:r w:rsidR="00BF6D2E">
        <w:rPr>
          <w:bCs/>
          <w:sz w:val="26"/>
          <w:szCs w:val="26"/>
          <w:lang w:val="es-MX"/>
        </w:rPr>
        <w:t xml:space="preserve"> constitucional</w:t>
      </w:r>
      <w:r w:rsidR="00D05E2E">
        <w:rPr>
          <w:bCs/>
          <w:sz w:val="26"/>
          <w:szCs w:val="26"/>
          <w:lang w:val="es-MX"/>
        </w:rPr>
        <w:t xml:space="preserve"> de consultar</w:t>
      </w:r>
      <w:r w:rsidR="000313F6">
        <w:rPr>
          <w:bCs/>
          <w:sz w:val="26"/>
          <w:szCs w:val="26"/>
          <w:lang w:val="es-MX"/>
        </w:rPr>
        <w:t>las</w:t>
      </w:r>
      <w:r w:rsidR="00D05E2E">
        <w:rPr>
          <w:bCs/>
          <w:sz w:val="26"/>
          <w:szCs w:val="26"/>
          <w:lang w:val="es-MX"/>
        </w:rPr>
        <w:t xml:space="preserve"> con </w:t>
      </w:r>
      <w:r w:rsidR="000313F6">
        <w:rPr>
          <w:bCs/>
          <w:sz w:val="26"/>
          <w:szCs w:val="26"/>
          <w:lang w:val="es-MX"/>
        </w:rPr>
        <w:t>esos grupos</w:t>
      </w:r>
      <w:r>
        <w:rPr>
          <w:bCs/>
          <w:sz w:val="26"/>
          <w:szCs w:val="26"/>
          <w:lang w:val="es-MX"/>
        </w:rPr>
        <w:t xml:space="preserve">, </w:t>
      </w:r>
      <w:r w:rsidR="00E87E94">
        <w:rPr>
          <w:bCs/>
          <w:sz w:val="26"/>
          <w:szCs w:val="26"/>
          <w:lang w:val="es-MX"/>
        </w:rPr>
        <w:t>esta</w:t>
      </w:r>
      <w:r>
        <w:rPr>
          <w:bCs/>
          <w:sz w:val="26"/>
          <w:szCs w:val="26"/>
          <w:lang w:val="es-MX"/>
        </w:rPr>
        <w:t xml:space="preserve"> Suprema Corte considera que</w:t>
      </w:r>
      <w:r w:rsidRPr="00966C05">
        <w:rPr>
          <w:bCs/>
          <w:sz w:val="26"/>
          <w:szCs w:val="26"/>
          <w:lang w:val="es-MX"/>
        </w:rPr>
        <w:t xml:space="preserve"> </w:t>
      </w:r>
      <w:r>
        <w:rPr>
          <w:bCs/>
          <w:sz w:val="26"/>
          <w:szCs w:val="26"/>
          <w:lang w:val="es-MX"/>
        </w:rPr>
        <w:t xml:space="preserve">es </w:t>
      </w:r>
      <w:r w:rsidRPr="00EE4298">
        <w:rPr>
          <w:b/>
          <w:bCs/>
          <w:sz w:val="26"/>
          <w:szCs w:val="26"/>
          <w:lang w:val="es-MX"/>
        </w:rPr>
        <w:t xml:space="preserve">sustancialmente </w:t>
      </w:r>
      <w:r>
        <w:rPr>
          <w:b/>
          <w:sz w:val="26"/>
          <w:szCs w:val="26"/>
          <w:lang w:val="es-MX"/>
        </w:rPr>
        <w:t>fundado</w:t>
      </w:r>
      <w:r>
        <w:rPr>
          <w:bCs/>
          <w:sz w:val="26"/>
          <w:szCs w:val="26"/>
          <w:lang w:val="es-MX"/>
        </w:rPr>
        <w:t xml:space="preserve"> </w:t>
      </w:r>
      <w:r>
        <w:rPr>
          <w:sz w:val="26"/>
          <w:szCs w:val="26"/>
        </w:rPr>
        <w:t xml:space="preserve">el concepto de invalidez de la Comisión Nacional de los Derechos Humanos relativo a que la omisión de consultar a </w:t>
      </w:r>
      <w:r w:rsidR="00377608">
        <w:rPr>
          <w:sz w:val="26"/>
          <w:szCs w:val="26"/>
        </w:rPr>
        <w:t>los pueblos y com</w:t>
      </w:r>
      <w:r>
        <w:rPr>
          <w:sz w:val="26"/>
          <w:szCs w:val="26"/>
        </w:rPr>
        <w:t>unidades</w:t>
      </w:r>
      <w:r w:rsidR="00377608">
        <w:rPr>
          <w:sz w:val="26"/>
          <w:szCs w:val="26"/>
        </w:rPr>
        <w:t xml:space="preserve"> indígenas</w:t>
      </w:r>
      <w:r>
        <w:rPr>
          <w:sz w:val="26"/>
          <w:szCs w:val="26"/>
        </w:rPr>
        <w:t xml:space="preserve"> </w:t>
      </w:r>
      <w:r w:rsidR="00BF6D2E">
        <w:rPr>
          <w:sz w:val="26"/>
          <w:szCs w:val="26"/>
        </w:rPr>
        <w:t xml:space="preserve">de la entidad federativa para emitir los decretos impugnados </w:t>
      </w:r>
      <w:r w:rsidR="00E87E94">
        <w:rPr>
          <w:sz w:val="26"/>
          <w:szCs w:val="26"/>
        </w:rPr>
        <w:t>vulneró</w:t>
      </w:r>
      <w:r>
        <w:rPr>
          <w:sz w:val="26"/>
          <w:szCs w:val="26"/>
        </w:rPr>
        <w:t xml:space="preserve"> los artículo</w:t>
      </w:r>
      <w:r w:rsidR="00377608">
        <w:rPr>
          <w:sz w:val="26"/>
          <w:szCs w:val="26"/>
        </w:rPr>
        <w:t>s 2</w:t>
      </w:r>
      <w:r w:rsidR="00580340">
        <w:rPr>
          <w:sz w:val="26"/>
          <w:szCs w:val="26"/>
        </w:rPr>
        <w:t>°</w:t>
      </w:r>
      <w:r w:rsidR="0017316E">
        <w:rPr>
          <w:sz w:val="26"/>
          <w:szCs w:val="26"/>
        </w:rPr>
        <w:t xml:space="preserve"> de la Constitución Federal</w:t>
      </w:r>
      <w:r w:rsidR="00377608">
        <w:rPr>
          <w:sz w:val="26"/>
          <w:szCs w:val="26"/>
        </w:rPr>
        <w:t xml:space="preserve"> </w:t>
      </w:r>
      <w:r w:rsidR="0017316E">
        <w:rPr>
          <w:sz w:val="26"/>
          <w:szCs w:val="26"/>
        </w:rPr>
        <w:t>y</w:t>
      </w:r>
      <w:r>
        <w:rPr>
          <w:sz w:val="26"/>
          <w:szCs w:val="26"/>
        </w:rPr>
        <w:t xml:space="preserve"> 6</w:t>
      </w:r>
      <w:r w:rsidR="00377608">
        <w:rPr>
          <w:sz w:val="26"/>
          <w:szCs w:val="26"/>
        </w:rPr>
        <w:t xml:space="preserve"> </w:t>
      </w:r>
      <w:r>
        <w:rPr>
          <w:sz w:val="26"/>
          <w:szCs w:val="26"/>
        </w:rPr>
        <w:t>del Convenio 169 de la OIT</w:t>
      </w:r>
      <w:r w:rsidR="00377608">
        <w:rPr>
          <w:bCs/>
          <w:sz w:val="26"/>
          <w:szCs w:val="26"/>
          <w:lang w:val="es-MX"/>
        </w:rPr>
        <w:t xml:space="preserve">. Como sostiene la </w:t>
      </w:r>
      <w:r w:rsidR="00872A10">
        <w:rPr>
          <w:bCs/>
          <w:sz w:val="26"/>
          <w:szCs w:val="26"/>
          <w:lang w:val="es-MX"/>
        </w:rPr>
        <w:t>Comisión accionante</w:t>
      </w:r>
      <w:r w:rsidR="00377608">
        <w:rPr>
          <w:bCs/>
          <w:sz w:val="26"/>
          <w:szCs w:val="26"/>
          <w:lang w:val="es-MX"/>
        </w:rPr>
        <w:t>, en la medida que el contenido de los decretos impugnados incide directamente en los derechos e intereses de los pueblos y comunidades indígenas, las autoridades del Estado de Chihuahua se encontraban obligadas a l</w:t>
      </w:r>
      <w:r w:rsidR="00D05E2E">
        <w:rPr>
          <w:bCs/>
          <w:sz w:val="26"/>
          <w:szCs w:val="26"/>
          <w:lang w:val="es-MX"/>
        </w:rPr>
        <w:t xml:space="preserve">levar a cabo una consulta que </w:t>
      </w:r>
      <w:r w:rsidR="00580340">
        <w:rPr>
          <w:bCs/>
          <w:sz w:val="26"/>
          <w:szCs w:val="26"/>
          <w:lang w:val="es-MX"/>
        </w:rPr>
        <w:t>jamás</w:t>
      </w:r>
      <w:r w:rsidR="00377608">
        <w:rPr>
          <w:bCs/>
          <w:sz w:val="26"/>
          <w:szCs w:val="26"/>
          <w:lang w:val="es-MX"/>
        </w:rPr>
        <w:t xml:space="preserve"> realizaron</w:t>
      </w:r>
      <w:r>
        <w:rPr>
          <w:bCs/>
          <w:sz w:val="26"/>
          <w:szCs w:val="26"/>
          <w:lang w:val="es-MX"/>
        </w:rPr>
        <w:t>.</w:t>
      </w:r>
    </w:p>
    <w:p w:rsidR="001D7F75" w:rsidRPr="00DA5CAA" w:rsidRDefault="00DB66F8" w:rsidP="001D7F75">
      <w:pPr>
        <w:pStyle w:val="corte4fondo"/>
        <w:numPr>
          <w:ilvl w:val="0"/>
          <w:numId w:val="1"/>
        </w:numPr>
        <w:tabs>
          <w:tab w:val="clear" w:pos="-3"/>
          <w:tab w:val="left" w:pos="0"/>
        </w:tabs>
        <w:spacing w:after="360" w:line="360" w:lineRule="auto"/>
        <w:ind w:left="0" w:hanging="567"/>
        <w:rPr>
          <w:bCs/>
          <w:sz w:val="26"/>
          <w:szCs w:val="26"/>
          <w:lang w:val="es-MX"/>
        </w:rPr>
      </w:pPr>
      <w:r>
        <w:rPr>
          <w:sz w:val="26"/>
          <w:szCs w:val="26"/>
        </w:rPr>
        <w:t>Como</w:t>
      </w:r>
      <w:r w:rsidR="00580340">
        <w:rPr>
          <w:sz w:val="26"/>
          <w:szCs w:val="26"/>
        </w:rPr>
        <w:t xml:space="preserve"> </w:t>
      </w:r>
      <w:r w:rsidR="00DE25D8">
        <w:rPr>
          <w:sz w:val="26"/>
          <w:szCs w:val="26"/>
        </w:rPr>
        <w:t xml:space="preserve">se </w:t>
      </w:r>
      <w:r w:rsidR="00580340">
        <w:rPr>
          <w:sz w:val="26"/>
          <w:szCs w:val="26"/>
        </w:rPr>
        <w:t>adelantó</w:t>
      </w:r>
      <w:r>
        <w:rPr>
          <w:sz w:val="26"/>
          <w:szCs w:val="26"/>
        </w:rPr>
        <w:t>,</w:t>
      </w:r>
      <w:r w:rsidR="00872A10">
        <w:rPr>
          <w:sz w:val="26"/>
          <w:szCs w:val="26"/>
        </w:rPr>
        <w:t xml:space="preserve"> </w:t>
      </w:r>
      <w:r w:rsidR="00DE25D8">
        <w:rPr>
          <w:sz w:val="26"/>
          <w:szCs w:val="26"/>
        </w:rPr>
        <w:t>no</w:t>
      </w:r>
      <w:r w:rsidR="001D7F75">
        <w:rPr>
          <w:sz w:val="26"/>
          <w:szCs w:val="26"/>
        </w:rPr>
        <w:t xml:space="preserve"> es obstáculo para llegar a esta conclusión que </w:t>
      </w:r>
      <w:r w:rsidR="005D5EEC">
        <w:rPr>
          <w:sz w:val="26"/>
          <w:szCs w:val="26"/>
        </w:rPr>
        <w:t>el Poder Ejecutivo del Estado de Chihuahua</w:t>
      </w:r>
      <w:r w:rsidR="001D7F75">
        <w:rPr>
          <w:sz w:val="26"/>
          <w:szCs w:val="26"/>
        </w:rPr>
        <w:t xml:space="preserve"> señale que las medidas sean benéficas</w:t>
      </w:r>
      <w:r w:rsidR="00D05E2E">
        <w:rPr>
          <w:sz w:val="26"/>
          <w:szCs w:val="26"/>
        </w:rPr>
        <w:t xml:space="preserve"> para los pueblos y comunidades indígenas</w:t>
      </w:r>
      <w:r w:rsidR="00E87E94">
        <w:rPr>
          <w:sz w:val="26"/>
          <w:szCs w:val="26"/>
        </w:rPr>
        <w:t xml:space="preserve"> y abonen a</w:t>
      </w:r>
      <w:r w:rsidR="00F751A8">
        <w:rPr>
          <w:sz w:val="26"/>
          <w:szCs w:val="26"/>
        </w:rPr>
        <w:t xml:space="preserve"> la realización de</w:t>
      </w:r>
      <w:r w:rsidR="00E87E94">
        <w:rPr>
          <w:sz w:val="26"/>
          <w:szCs w:val="26"/>
        </w:rPr>
        <w:t xml:space="preserve"> sus derechos de acceso a la justicia y a la salud</w:t>
      </w:r>
      <w:r w:rsidR="001D7F75">
        <w:rPr>
          <w:sz w:val="26"/>
          <w:szCs w:val="26"/>
        </w:rPr>
        <w:t>. Contra lo que sugiere</w:t>
      </w:r>
      <w:r w:rsidR="005D5EEC">
        <w:rPr>
          <w:sz w:val="26"/>
          <w:szCs w:val="26"/>
        </w:rPr>
        <w:t xml:space="preserve"> dicha autoridad responsable</w:t>
      </w:r>
      <w:r w:rsidR="001D7F75">
        <w:rPr>
          <w:sz w:val="26"/>
          <w:szCs w:val="26"/>
        </w:rPr>
        <w:t xml:space="preserve">, el análisis de </w:t>
      </w:r>
      <w:r w:rsidR="001D7F75" w:rsidRPr="00F26516">
        <w:rPr>
          <w:sz w:val="26"/>
          <w:szCs w:val="26"/>
        </w:rPr>
        <w:t>constitucionalidad</w:t>
      </w:r>
      <w:r w:rsidR="001D7F75">
        <w:rPr>
          <w:sz w:val="26"/>
          <w:szCs w:val="26"/>
        </w:rPr>
        <w:t xml:space="preserve"> de un procedimiento legislativo local por </w:t>
      </w:r>
      <w:r w:rsidR="001D4908">
        <w:rPr>
          <w:sz w:val="26"/>
          <w:szCs w:val="26"/>
        </w:rPr>
        <w:t>ausencia de consulta previa a los pueblos y</w:t>
      </w:r>
      <w:r w:rsidR="00F526F3">
        <w:rPr>
          <w:sz w:val="26"/>
          <w:szCs w:val="26"/>
        </w:rPr>
        <w:t xml:space="preserve"> comunidades indígenas</w:t>
      </w:r>
      <w:r w:rsidR="001E4845">
        <w:rPr>
          <w:sz w:val="26"/>
          <w:szCs w:val="26"/>
        </w:rPr>
        <w:t xml:space="preserve"> o afromexicanas </w:t>
      </w:r>
      <w:r w:rsidR="001D7F75">
        <w:rPr>
          <w:sz w:val="26"/>
          <w:szCs w:val="26"/>
        </w:rPr>
        <w:t>no es susceptible de convalidarse por la consecuencia de la medida</w:t>
      </w:r>
      <w:r w:rsidR="00B56BE0">
        <w:rPr>
          <w:sz w:val="26"/>
          <w:szCs w:val="26"/>
        </w:rPr>
        <w:t>. En tanto garantía del derecho a la autodeterminación, la consulta conforme a los estándares reconocidos por esta Suprema Corte r</w:t>
      </w:r>
      <w:r w:rsidR="001D7F75">
        <w:rPr>
          <w:sz w:val="26"/>
          <w:szCs w:val="26"/>
        </w:rPr>
        <w:t xml:space="preserve">epresenta </w:t>
      </w:r>
      <w:r w:rsidR="001D4908">
        <w:rPr>
          <w:sz w:val="26"/>
          <w:szCs w:val="26"/>
        </w:rPr>
        <w:t xml:space="preserve">un </w:t>
      </w:r>
      <w:r w:rsidR="001D7F75">
        <w:rPr>
          <w:sz w:val="26"/>
          <w:szCs w:val="26"/>
        </w:rPr>
        <w:t xml:space="preserve">requisito </w:t>
      </w:r>
      <w:r w:rsidR="00580340">
        <w:rPr>
          <w:sz w:val="26"/>
          <w:szCs w:val="26"/>
        </w:rPr>
        <w:t>para tomar</w:t>
      </w:r>
      <w:r w:rsidR="001D7F75">
        <w:rPr>
          <w:sz w:val="26"/>
          <w:szCs w:val="26"/>
        </w:rPr>
        <w:t xml:space="preserve"> cualquier</w:t>
      </w:r>
      <w:r w:rsidR="001D4908">
        <w:rPr>
          <w:sz w:val="26"/>
          <w:szCs w:val="26"/>
        </w:rPr>
        <w:t xml:space="preserve"> determinación</w:t>
      </w:r>
      <w:r w:rsidR="001D7F75">
        <w:rPr>
          <w:sz w:val="26"/>
          <w:szCs w:val="26"/>
        </w:rPr>
        <w:t xml:space="preserve"> que modifique</w:t>
      </w:r>
      <w:r w:rsidR="001D4908">
        <w:rPr>
          <w:sz w:val="26"/>
          <w:szCs w:val="26"/>
        </w:rPr>
        <w:t xml:space="preserve"> </w:t>
      </w:r>
      <w:r w:rsidR="00580340">
        <w:rPr>
          <w:sz w:val="26"/>
          <w:szCs w:val="26"/>
        </w:rPr>
        <w:t>de manera diferenciada</w:t>
      </w:r>
      <w:r w:rsidR="001D7F75">
        <w:rPr>
          <w:sz w:val="26"/>
          <w:szCs w:val="26"/>
        </w:rPr>
        <w:t xml:space="preserve"> la situación de </w:t>
      </w:r>
      <w:r w:rsidR="001D4908">
        <w:rPr>
          <w:sz w:val="26"/>
          <w:szCs w:val="26"/>
        </w:rPr>
        <w:t>tales pueblos y</w:t>
      </w:r>
      <w:r w:rsidR="001D7F75">
        <w:rPr>
          <w:sz w:val="26"/>
          <w:szCs w:val="26"/>
        </w:rPr>
        <w:t xml:space="preserve"> comunidades.</w:t>
      </w:r>
    </w:p>
    <w:p w:rsidR="00A06537" w:rsidRDefault="00A06537" w:rsidP="00A06537">
      <w:pPr>
        <w:pStyle w:val="corte4fondo"/>
        <w:spacing w:after="360" w:line="360" w:lineRule="auto"/>
        <w:ind w:firstLine="0"/>
        <w:rPr>
          <w:rFonts w:cs="Arial"/>
          <w:b/>
          <w:sz w:val="26"/>
          <w:szCs w:val="26"/>
        </w:rPr>
      </w:pPr>
    </w:p>
    <w:p w:rsidR="00A06537" w:rsidRPr="00A664F3" w:rsidRDefault="00A06537" w:rsidP="00A06537">
      <w:pPr>
        <w:pStyle w:val="corte4fondo"/>
        <w:spacing w:after="360" w:line="360" w:lineRule="auto"/>
        <w:ind w:firstLine="0"/>
        <w:rPr>
          <w:b/>
          <w:sz w:val="26"/>
          <w:szCs w:val="26"/>
          <w:lang w:val="es-MX"/>
        </w:rPr>
      </w:pPr>
      <w:r w:rsidRPr="00A664F3">
        <w:rPr>
          <w:rFonts w:cs="Arial"/>
          <w:b/>
          <w:sz w:val="26"/>
          <w:szCs w:val="26"/>
        </w:rPr>
        <w:lastRenderedPageBreak/>
        <w:t>2. ¿Existía obligación de llevar a cabo una consulta a las personas con discapacidad en el Estado de Chihuahua para expedir el Decreto N° LXVI/RFLEY/0665/2020 III P.E.?</w:t>
      </w:r>
    </w:p>
    <w:p w:rsidR="00FF3FF0" w:rsidRPr="00A664F3" w:rsidRDefault="00CE527C" w:rsidP="005D5EEC">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rPr>
        <w:t>E</w:t>
      </w:r>
      <w:r w:rsidR="00F75D5B" w:rsidRPr="00A664F3">
        <w:rPr>
          <w:rFonts w:cs="Arial"/>
          <w:sz w:val="26"/>
          <w:szCs w:val="26"/>
        </w:rPr>
        <w:t>s</w:t>
      </w:r>
      <w:r w:rsidR="00FF3FF0" w:rsidRPr="00A664F3">
        <w:rPr>
          <w:rFonts w:cs="Arial"/>
          <w:bCs/>
          <w:sz w:val="26"/>
          <w:szCs w:val="26"/>
          <w:lang w:val="es-MX"/>
        </w:rPr>
        <w:t xml:space="preserve"> criterio reiterado de este Tribunal Pleno </w:t>
      </w:r>
      <w:r w:rsidR="00EB559A" w:rsidRPr="00A664F3">
        <w:rPr>
          <w:rFonts w:cs="Arial"/>
          <w:bCs/>
          <w:sz w:val="26"/>
          <w:szCs w:val="26"/>
          <w:lang w:val="es-MX"/>
        </w:rPr>
        <w:t>que</w:t>
      </w:r>
      <w:r w:rsidR="00405334" w:rsidRPr="00A664F3">
        <w:rPr>
          <w:rFonts w:cs="Arial"/>
          <w:bCs/>
          <w:sz w:val="26"/>
          <w:szCs w:val="26"/>
          <w:lang w:val="es-MX"/>
        </w:rPr>
        <w:t>,</w:t>
      </w:r>
      <w:r w:rsidR="00EB559A" w:rsidRPr="00A664F3">
        <w:rPr>
          <w:rFonts w:cs="Arial"/>
          <w:bCs/>
          <w:sz w:val="26"/>
          <w:szCs w:val="26"/>
          <w:lang w:val="es-MX"/>
        </w:rPr>
        <w:t xml:space="preserve"> cuando</w:t>
      </w:r>
      <w:r w:rsidR="007B7552" w:rsidRPr="00A664F3">
        <w:rPr>
          <w:rFonts w:cs="Arial"/>
          <w:bCs/>
          <w:sz w:val="26"/>
          <w:szCs w:val="26"/>
          <w:lang w:val="es-MX"/>
        </w:rPr>
        <w:t xml:space="preserve"> en una acción de inconstitucionalidad se estime fundado alguno de los conceptos de invalidez </w:t>
      </w:r>
      <w:r w:rsidRPr="00A664F3">
        <w:rPr>
          <w:rFonts w:cs="Arial"/>
          <w:bCs/>
          <w:sz w:val="26"/>
          <w:szCs w:val="26"/>
          <w:lang w:val="es-MX"/>
        </w:rPr>
        <w:t>formulados</w:t>
      </w:r>
      <w:r w:rsidR="007B7552" w:rsidRPr="00A664F3">
        <w:rPr>
          <w:rFonts w:cs="Arial"/>
          <w:bCs/>
          <w:sz w:val="26"/>
          <w:szCs w:val="26"/>
          <w:lang w:val="es-MX"/>
        </w:rPr>
        <w:t xml:space="preserve"> contra una norma general</w:t>
      </w:r>
      <w:r w:rsidR="00405334" w:rsidRPr="00A664F3">
        <w:rPr>
          <w:rFonts w:cs="Arial"/>
          <w:bCs/>
          <w:sz w:val="26"/>
          <w:szCs w:val="26"/>
          <w:lang w:val="es-MX"/>
        </w:rPr>
        <w:t>,</w:t>
      </w:r>
      <w:r w:rsidR="007B7552" w:rsidRPr="00A664F3">
        <w:rPr>
          <w:rFonts w:cs="Arial"/>
          <w:bCs/>
          <w:sz w:val="26"/>
          <w:szCs w:val="26"/>
          <w:lang w:val="es-MX"/>
        </w:rPr>
        <w:t xml:space="preserve"> </w:t>
      </w:r>
      <w:r w:rsidR="000F4946" w:rsidRPr="00A664F3">
        <w:rPr>
          <w:rFonts w:cs="Arial"/>
          <w:bCs/>
          <w:sz w:val="26"/>
          <w:szCs w:val="26"/>
          <w:lang w:val="es-MX"/>
        </w:rPr>
        <w:t xml:space="preserve">en principio </w:t>
      </w:r>
      <w:r w:rsidR="007B7552" w:rsidRPr="00A664F3">
        <w:rPr>
          <w:rFonts w:cs="Arial"/>
          <w:bCs/>
          <w:sz w:val="26"/>
          <w:szCs w:val="26"/>
          <w:lang w:val="es-MX"/>
        </w:rPr>
        <w:t xml:space="preserve">deviene innecesario ocuparse del resto de los </w:t>
      </w:r>
      <w:r w:rsidRPr="00A664F3">
        <w:rPr>
          <w:rFonts w:cs="Arial"/>
          <w:bCs/>
          <w:sz w:val="26"/>
          <w:szCs w:val="26"/>
          <w:lang w:val="es-MX"/>
        </w:rPr>
        <w:t>planteamientos</w:t>
      </w:r>
      <w:r w:rsidR="007B7552" w:rsidRPr="00A664F3">
        <w:rPr>
          <w:rFonts w:cs="Arial"/>
          <w:bCs/>
          <w:sz w:val="26"/>
          <w:szCs w:val="26"/>
          <w:lang w:val="es-MX"/>
        </w:rPr>
        <w:t xml:space="preserve"> </w:t>
      </w:r>
      <w:r w:rsidRPr="00A664F3">
        <w:rPr>
          <w:rFonts w:cs="Arial"/>
          <w:bCs/>
          <w:sz w:val="26"/>
          <w:szCs w:val="26"/>
          <w:lang w:val="es-MX"/>
        </w:rPr>
        <w:t>esgrimidos</w:t>
      </w:r>
      <w:r w:rsidR="007B7552" w:rsidRPr="00A664F3">
        <w:rPr>
          <w:rFonts w:cs="Arial"/>
          <w:bCs/>
          <w:sz w:val="26"/>
          <w:szCs w:val="26"/>
          <w:lang w:val="es-MX"/>
        </w:rPr>
        <w:t xml:space="preserve"> contra ese mismo acto,</w:t>
      </w:r>
      <w:r w:rsidR="00FF3FF0" w:rsidRPr="00A664F3">
        <w:rPr>
          <w:rFonts w:cs="Arial"/>
          <w:bCs/>
          <w:sz w:val="26"/>
          <w:szCs w:val="26"/>
          <w:lang w:val="es-MX"/>
        </w:rPr>
        <w:t xml:space="preserve"> </w:t>
      </w:r>
      <w:r w:rsidR="007B7552" w:rsidRPr="00A664F3">
        <w:rPr>
          <w:rFonts w:cs="Arial"/>
          <w:sz w:val="26"/>
          <w:szCs w:val="26"/>
          <w:lang w:val="es-MX"/>
        </w:rPr>
        <w:t>pues en cualquier caso se declarará su invalidez</w:t>
      </w:r>
      <w:r w:rsidR="007B7552" w:rsidRPr="00A664F3">
        <w:rPr>
          <w:rFonts w:cs="Arial"/>
          <w:bCs/>
          <w:sz w:val="26"/>
          <w:szCs w:val="26"/>
          <w:vertAlign w:val="superscript"/>
          <w:lang w:val="es-MX"/>
        </w:rPr>
        <w:footnoteReference w:id="75"/>
      </w:r>
      <w:r w:rsidR="007B7552" w:rsidRPr="00A664F3">
        <w:rPr>
          <w:rFonts w:cs="Arial"/>
          <w:sz w:val="26"/>
          <w:szCs w:val="26"/>
          <w:lang w:val="es-MX"/>
        </w:rPr>
        <w:t xml:space="preserve">. </w:t>
      </w:r>
      <w:r w:rsidR="002636E6" w:rsidRPr="00A664F3">
        <w:rPr>
          <w:rFonts w:cs="Arial"/>
          <w:sz w:val="26"/>
          <w:szCs w:val="26"/>
          <w:lang w:val="es-MX"/>
        </w:rPr>
        <w:t>No obstante</w:t>
      </w:r>
      <w:r w:rsidR="007B7552" w:rsidRPr="00A664F3">
        <w:rPr>
          <w:rFonts w:cs="Arial"/>
          <w:sz w:val="26"/>
          <w:szCs w:val="26"/>
          <w:lang w:val="es-MX"/>
        </w:rPr>
        <w:t>,</w:t>
      </w:r>
      <w:r w:rsidR="007B7552" w:rsidRPr="00A664F3">
        <w:rPr>
          <w:rFonts w:cs="Arial"/>
          <w:bCs/>
          <w:sz w:val="26"/>
          <w:szCs w:val="26"/>
          <w:lang w:val="es-MX"/>
        </w:rPr>
        <w:t xml:space="preserve"> dad</w:t>
      </w:r>
      <w:r w:rsidR="00405334" w:rsidRPr="00A664F3">
        <w:rPr>
          <w:rFonts w:cs="Arial"/>
          <w:bCs/>
          <w:sz w:val="26"/>
          <w:szCs w:val="26"/>
          <w:lang w:val="es-MX"/>
        </w:rPr>
        <w:t>o</w:t>
      </w:r>
      <w:r w:rsidR="007B7552" w:rsidRPr="00A664F3">
        <w:rPr>
          <w:rFonts w:cs="Arial"/>
          <w:bCs/>
          <w:sz w:val="26"/>
          <w:szCs w:val="26"/>
          <w:lang w:val="es-MX"/>
        </w:rPr>
        <w:t xml:space="preserve"> </w:t>
      </w:r>
      <w:r w:rsidR="00405334" w:rsidRPr="00A664F3">
        <w:rPr>
          <w:rFonts w:cs="Arial"/>
          <w:bCs/>
          <w:sz w:val="26"/>
          <w:szCs w:val="26"/>
          <w:lang w:val="es-MX"/>
        </w:rPr>
        <w:t xml:space="preserve">que </w:t>
      </w:r>
      <w:r w:rsidR="007B7552" w:rsidRPr="00A664F3">
        <w:rPr>
          <w:rFonts w:cs="Arial"/>
          <w:bCs/>
          <w:sz w:val="26"/>
          <w:szCs w:val="26"/>
          <w:lang w:val="es-MX"/>
        </w:rPr>
        <w:t>el presente asunto</w:t>
      </w:r>
      <w:r w:rsidR="00405334" w:rsidRPr="00A664F3">
        <w:rPr>
          <w:rFonts w:cs="Arial"/>
          <w:bCs/>
          <w:sz w:val="26"/>
          <w:szCs w:val="26"/>
          <w:lang w:val="es-MX"/>
        </w:rPr>
        <w:t xml:space="preserve"> tiene la particularidad de que</w:t>
      </w:r>
      <w:r w:rsidR="007D6F35" w:rsidRPr="00A664F3">
        <w:rPr>
          <w:rFonts w:cs="Arial"/>
          <w:bCs/>
          <w:sz w:val="26"/>
          <w:szCs w:val="26"/>
          <w:lang w:val="es-MX"/>
        </w:rPr>
        <w:t xml:space="preserve"> cada uno de</w:t>
      </w:r>
      <w:r w:rsidR="00405334" w:rsidRPr="00A664F3">
        <w:rPr>
          <w:rFonts w:cs="Arial"/>
          <w:bCs/>
          <w:sz w:val="26"/>
          <w:szCs w:val="26"/>
          <w:lang w:val="es-MX"/>
        </w:rPr>
        <w:t xml:space="preserve"> los conceptos de invalidez</w:t>
      </w:r>
      <w:r w:rsidRPr="00A664F3">
        <w:rPr>
          <w:rFonts w:cs="Arial"/>
          <w:bCs/>
          <w:sz w:val="26"/>
          <w:szCs w:val="26"/>
          <w:lang w:val="es-MX"/>
        </w:rPr>
        <w:t xml:space="preserve"> formulados contra</w:t>
      </w:r>
      <w:r w:rsidR="00405334" w:rsidRPr="00A664F3">
        <w:rPr>
          <w:rFonts w:cs="Arial"/>
          <w:bCs/>
          <w:sz w:val="26"/>
          <w:szCs w:val="26"/>
          <w:lang w:val="es-MX"/>
        </w:rPr>
        <w:t xml:space="preserve"> </w:t>
      </w:r>
      <w:r w:rsidRPr="00A664F3">
        <w:rPr>
          <w:rFonts w:cs="Arial"/>
          <w:bCs/>
          <w:sz w:val="26"/>
          <w:szCs w:val="26"/>
          <w:lang w:val="es-MX"/>
        </w:rPr>
        <w:t>la expedición d</w:t>
      </w:r>
      <w:r w:rsidRPr="00A664F3">
        <w:rPr>
          <w:rFonts w:cs="Arial"/>
          <w:sz w:val="26"/>
          <w:szCs w:val="26"/>
        </w:rPr>
        <w:t xml:space="preserve">el Decreto N° LXVI/RFLEY/0665/2020 III P.E. </w:t>
      </w:r>
      <w:r w:rsidR="00405334" w:rsidRPr="00A664F3">
        <w:rPr>
          <w:rFonts w:cs="Arial"/>
          <w:bCs/>
          <w:sz w:val="26"/>
          <w:szCs w:val="26"/>
          <w:lang w:val="es-MX"/>
        </w:rPr>
        <w:t>se refiere a</w:t>
      </w:r>
      <w:r w:rsidR="004B0DDA" w:rsidRPr="00A664F3">
        <w:rPr>
          <w:rFonts w:cs="Arial"/>
          <w:bCs/>
          <w:sz w:val="26"/>
          <w:szCs w:val="26"/>
          <w:lang w:val="es-MX"/>
        </w:rPr>
        <w:t xml:space="preserve"> </w:t>
      </w:r>
      <w:r w:rsidRPr="00A664F3">
        <w:rPr>
          <w:rFonts w:cs="Arial"/>
          <w:bCs/>
          <w:sz w:val="26"/>
          <w:szCs w:val="26"/>
          <w:lang w:val="es-MX"/>
        </w:rPr>
        <w:t>u</w:t>
      </w:r>
      <w:r w:rsidR="007D6F35" w:rsidRPr="00A664F3">
        <w:rPr>
          <w:rFonts w:cs="Arial"/>
          <w:bCs/>
          <w:sz w:val="26"/>
          <w:szCs w:val="26"/>
          <w:lang w:val="es-MX"/>
        </w:rPr>
        <w:t>n</w:t>
      </w:r>
      <w:r w:rsidR="00405334" w:rsidRPr="00A664F3">
        <w:rPr>
          <w:rFonts w:cs="Arial"/>
          <w:bCs/>
          <w:sz w:val="26"/>
          <w:szCs w:val="26"/>
          <w:lang w:val="es-MX"/>
        </w:rPr>
        <w:t xml:space="preserve"> </w:t>
      </w:r>
      <w:r w:rsidR="007D6F35" w:rsidRPr="00A664F3">
        <w:rPr>
          <w:rFonts w:cs="Arial"/>
          <w:bCs/>
          <w:sz w:val="26"/>
          <w:szCs w:val="26"/>
          <w:lang w:val="es-MX"/>
        </w:rPr>
        <w:t>tipo</w:t>
      </w:r>
      <w:r w:rsidR="00405334" w:rsidRPr="00A664F3">
        <w:rPr>
          <w:rFonts w:cs="Arial"/>
          <w:bCs/>
          <w:sz w:val="26"/>
          <w:szCs w:val="26"/>
          <w:lang w:val="es-MX"/>
        </w:rPr>
        <w:t xml:space="preserve"> de consulta</w:t>
      </w:r>
      <w:r w:rsidR="007A3D92" w:rsidRPr="00A664F3">
        <w:rPr>
          <w:rFonts w:cs="Arial"/>
          <w:bCs/>
          <w:sz w:val="26"/>
          <w:szCs w:val="26"/>
          <w:lang w:val="es-MX"/>
        </w:rPr>
        <w:t xml:space="preserve"> distinto</w:t>
      </w:r>
      <w:r w:rsidR="007D6F35" w:rsidRPr="00A664F3">
        <w:rPr>
          <w:rFonts w:cs="Arial"/>
          <w:bCs/>
          <w:sz w:val="26"/>
          <w:szCs w:val="26"/>
          <w:lang w:val="es-MX"/>
        </w:rPr>
        <w:t xml:space="preserve">, </w:t>
      </w:r>
      <w:r w:rsidRPr="00A664F3">
        <w:rPr>
          <w:rFonts w:cs="Arial"/>
          <w:bCs/>
          <w:sz w:val="26"/>
          <w:szCs w:val="26"/>
          <w:lang w:val="es-MX"/>
        </w:rPr>
        <w:t>declarar la</w:t>
      </w:r>
      <w:r w:rsidR="007D6F35" w:rsidRPr="00A664F3">
        <w:rPr>
          <w:rFonts w:cs="Arial"/>
          <w:bCs/>
          <w:sz w:val="26"/>
          <w:szCs w:val="26"/>
          <w:lang w:val="es-MX"/>
        </w:rPr>
        <w:t xml:space="preserve"> invalidez</w:t>
      </w:r>
      <w:r w:rsidRPr="00A664F3">
        <w:rPr>
          <w:rFonts w:cs="Arial"/>
          <w:bCs/>
          <w:sz w:val="26"/>
          <w:szCs w:val="26"/>
          <w:lang w:val="es-MX"/>
        </w:rPr>
        <w:t xml:space="preserve"> de este instrumento</w:t>
      </w:r>
      <w:r w:rsidR="00A64AC6" w:rsidRPr="00A664F3">
        <w:rPr>
          <w:rFonts w:cs="Arial"/>
          <w:bCs/>
          <w:sz w:val="26"/>
          <w:szCs w:val="26"/>
          <w:lang w:val="es-MX"/>
        </w:rPr>
        <w:t xml:space="preserve"> legal</w:t>
      </w:r>
      <w:r w:rsidR="007D6F35" w:rsidRPr="00A664F3">
        <w:rPr>
          <w:rFonts w:cs="Arial"/>
          <w:bCs/>
          <w:sz w:val="26"/>
          <w:szCs w:val="26"/>
          <w:lang w:val="es-MX"/>
        </w:rPr>
        <w:t xml:space="preserve"> sin </w:t>
      </w:r>
      <w:r w:rsidR="00344D97" w:rsidRPr="00A664F3">
        <w:rPr>
          <w:rFonts w:cs="Arial"/>
          <w:bCs/>
          <w:sz w:val="26"/>
          <w:szCs w:val="26"/>
          <w:lang w:val="es-MX"/>
        </w:rPr>
        <w:t>abordar</w:t>
      </w:r>
      <w:r w:rsidR="007C02D8" w:rsidRPr="00A664F3">
        <w:rPr>
          <w:rFonts w:cs="Arial"/>
          <w:bCs/>
          <w:sz w:val="26"/>
          <w:szCs w:val="26"/>
          <w:lang w:val="es-MX"/>
        </w:rPr>
        <w:t xml:space="preserve"> </w:t>
      </w:r>
      <w:r w:rsidR="002636E6" w:rsidRPr="00A664F3">
        <w:rPr>
          <w:rFonts w:cs="Arial"/>
          <w:bCs/>
          <w:sz w:val="26"/>
          <w:szCs w:val="26"/>
          <w:lang w:val="es-MX"/>
        </w:rPr>
        <w:t>ambos planteamientos</w:t>
      </w:r>
      <w:r w:rsidR="005E6E24" w:rsidRPr="00A664F3">
        <w:rPr>
          <w:rFonts w:cs="Arial"/>
          <w:bCs/>
          <w:sz w:val="26"/>
          <w:szCs w:val="26"/>
          <w:lang w:val="es-MX"/>
        </w:rPr>
        <w:t xml:space="preserve"> </w:t>
      </w:r>
      <w:r w:rsidR="007D6F35" w:rsidRPr="00A664F3">
        <w:rPr>
          <w:rFonts w:cs="Arial"/>
          <w:bCs/>
          <w:sz w:val="26"/>
          <w:szCs w:val="26"/>
          <w:lang w:val="es-MX"/>
        </w:rPr>
        <w:t>p</w:t>
      </w:r>
      <w:r w:rsidR="0031195E" w:rsidRPr="00A664F3">
        <w:rPr>
          <w:rFonts w:cs="Arial"/>
          <w:bCs/>
          <w:sz w:val="26"/>
          <w:szCs w:val="26"/>
          <w:lang w:val="es-MX"/>
        </w:rPr>
        <w:t>odrí</w:t>
      </w:r>
      <w:r w:rsidR="007D6F35" w:rsidRPr="00A664F3">
        <w:rPr>
          <w:rFonts w:cs="Arial"/>
          <w:bCs/>
          <w:sz w:val="26"/>
          <w:szCs w:val="26"/>
          <w:lang w:val="es-MX"/>
        </w:rPr>
        <w:t>a con</w:t>
      </w:r>
      <w:r w:rsidR="008C2155" w:rsidRPr="00A664F3">
        <w:rPr>
          <w:rFonts w:cs="Arial"/>
          <w:bCs/>
          <w:sz w:val="26"/>
          <w:szCs w:val="26"/>
          <w:lang w:val="es-MX"/>
        </w:rPr>
        <w:t>tribuir</w:t>
      </w:r>
      <w:r w:rsidRPr="00A664F3">
        <w:rPr>
          <w:rFonts w:cs="Arial"/>
          <w:bCs/>
          <w:sz w:val="26"/>
          <w:szCs w:val="26"/>
          <w:lang w:val="es-MX"/>
        </w:rPr>
        <w:t xml:space="preserve"> a que</w:t>
      </w:r>
      <w:r w:rsidR="0031195E" w:rsidRPr="00A664F3">
        <w:rPr>
          <w:rFonts w:cs="Arial"/>
          <w:bCs/>
          <w:sz w:val="26"/>
          <w:szCs w:val="26"/>
          <w:lang w:val="es-MX"/>
        </w:rPr>
        <w:t>,</w:t>
      </w:r>
      <w:r w:rsidR="00C15D92" w:rsidRPr="00A664F3">
        <w:rPr>
          <w:rFonts w:cs="Arial"/>
          <w:bCs/>
          <w:sz w:val="26"/>
          <w:szCs w:val="26"/>
          <w:lang w:val="es-MX"/>
        </w:rPr>
        <w:t xml:space="preserve"> al</w:t>
      </w:r>
      <w:r w:rsidR="000634BD" w:rsidRPr="00A664F3">
        <w:rPr>
          <w:rFonts w:cs="Arial"/>
          <w:bCs/>
          <w:sz w:val="26"/>
          <w:szCs w:val="26"/>
          <w:lang w:val="es-MX"/>
        </w:rPr>
        <w:t xml:space="preserve"> momento de</w:t>
      </w:r>
      <w:r w:rsidR="00C15D92" w:rsidRPr="00A664F3">
        <w:rPr>
          <w:rFonts w:cs="Arial"/>
          <w:bCs/>
          <w:sz w:val="26"/>
          <w:szCs w:val="26"/>
          <w:lang w:val="es-MX"/>
        </w:rPr>
        <w:t xml:space="preserve"> subsanarse la violación</w:t>
      </w:r>
      <w:r w:rsidR="000634BD" w:rsidRPr="00A664F3">
        <w:rPr>
          <w:rFonts w:cs="Arial"/>
          <w:bCs/>
          <w:sz w:val="26"/>
          <w:szCs w:val="26"/>
          <w:lang w:val="es-MX"/>
        </w:rPr>
        <w:t xml:space="preserve"> </w:t>
      </w:r>
      <w:r w:rsidR="0002670C" w:rsidRPr="00A664F3">
        <w:rPr>
          <w:rFonts w:cs="Arial"/>
          <w:bCs/>
          <w:sz w:val="26"/>
          <w:szCs w:val="26"/>
          <w:lang w:val="es-MX"/>
        </w:rPr>
        <w:t xml:space="preserve">procesal </w:t>
      </w:r>
      <w:r w:rsidR="000634BD" w:rsidRPr="00A664F3">
        <w:rPr>
          <w:rFonts w:cs="Arial"/>
          <w:bCs/>
          <w:sz w:val="26"/>
          <w:szCs w:val="26"/>
          <w:lang w:val="es-MX"/>
        </w:rPr>
        <w:t xml:space="preserve">ya </w:t>
      </w:r>
      <w:r w:rsidR="00C15D92" w:rsidRPr="00A664F3">
        <w:rPr>
          <w:rFonts w:cs="Arial"/>
          <w:bCs/>
          <w:sz w:val="26"/>
          <w:szCs w:val="26"/>
          <w:lang w:val="es-MX"/>
        </w:rPr>
        <w:t>acreditada</w:t>
      </w:r>
      <w:r w:rsidR="0031195E" w:rsidRPr="00A664F3">
        <w:rPr>
          <w:rFonts w:cs="Arial"/>
          <w:bCs/>
          <w:sz w:val="26"/>
          <w:szCs w:val="26"/>
          <w:lang w:val="es-MX"/>
        </w:rPr>
        <w:t>,</w:t>
      </w:r>
      <w:r w:rsidR="00C15D92" w:rsidRPr="00A664F3">
        <w:rPr>
          <w:rFonts w:cs="Arial"/>
          <w:bCs/>
          <w:sz w:val="26"/>
          <w:szCs w:val="26"/>
          <w:lang w:val="es-MX"/>
        </w:rPr>
        <w:t xml:space="preserve"> </w:t>
      </w:r>
      <w:r w:rsidRPr="00A664F3">
        <w:rPr>
          <w:rFonts w:cs="Arial"/>
          <w:bCs/>
          <w:sz w:val="26"/>
          <w:szCs w:val="26"/>
          <w:lang w:val="es-MX"/>
        </w:rPr>
        <w:t>se repitiera</w:t>
      </w:r>
      <w:r w:rsidR="00C244A8" w:rsidRPr="00A664F3">
        <w:rPr>
          <w:rFonts w:cs="Arial"/>
          <w:bCs/>
          <w:sz w:val="26"/>
          <w:szCs w:val="26"/>
          <w:lang w:val="es-MX"/>
        </w:rPr>
        <w:t xml:space="preserve"> en cambio</w:t>
      </w:r>
      <w:r w:rsidR="004654C1" w:rsidRPr="00A664F3">
        <w:rPr>
          <w:rFonts w:cs="Arial"/>
          <w:bCs/>
          <w:sz w:val="26"/>
          <w:szCs w:val="26"/>
          <w:lang w:val="es-MX"/>
        </w:rPr>
        <w:t xml:space="preserve"> </w:t>
      </w:r>
      <w:r w:rsidR="000634BD" w:rsidRPr="00A664F3">
        <w:rPr>
          <w:rFonts w:cs="Arial"/>
          <w:bCs/>
          <w:sz w:val="26"/>
          <w:szCs w:val="26"/>
          <w:lang w:val="es-MX"/>
        </w:rPr>
        <w:t xml:space="preserve">la otra que </w:t>
      </w:r>
      <w:r w:rsidR="000F4946" w:rsidRPr="00A664F3">
        <w:rPr>
          <w:rFonts w:cs="Arial"/>
          <w:bCs/>
          <w:sz w:val="26"/>
          <w:szCs w:val="26"/>
          <w:lang w:val="es-MX"/>
        </w:rPr>
        <w:t xml:space="preserve">también </w:t>
      </w:r>
      <w:r w:rsidR="000634BD" w:rsidRPr="00A664F3">
        <w:rPr>
          <w:rFonts w:cs="Arial"/>
          <w:bCs/>
          <w:sz w:val="26"/>
          <w:szCs w:val="26"/>
          <w:lang w:val="es-MX"/>
        </w:rPr>
        <w:t>fue alegada</w:t>
      </w:r>
      <w:r w:rsidR="000820C5" w:rsidRPr="00A664F3">
        <w:rPr>
          <w:rFonts w:cs="Arial"/>
          <w:bCs/>
          <w:sz w:val="26"/>
          <w:szCs w:val="26"/>
          <w:lang w:val="es-MX"/>
        </w:rPr>
        <w:t xml:space="preserve"> por la accionante</w:t>
      </w:r>
      <w:r w:rsidRPr="00A664F3">
        <w:rPr>
          <w:rFonts w:cs="Arial"/>
          <w:bCs/>
          <w:sz w:val="26"/>
          <w:szCs w:val="26"/>
          <w:lang w:val="es-MX"/>
        </w:rPr>
        <w:t xml:space="preserve">. </w:t>
      </w:r>
      <w:r w:rsidR="000F4946" w:rsidRPr="00A664F3">
        <w:rPr>
          <w:rFonts w:cs="Arial"/>
          <w:bCs/>
          <w:sz w:val="26"/>
          <w:szCs w:val="26"/>
          <w:lang w:val="es-MX"/>
        </w:rPr>
        <w:t xml:space="preserve">A fin de evitar </w:t>
      </w:r>
      <w:r w:rsidR="00596AB5" w:rsidRPr="00A664F3">
        <w:rPr>
          <w:rFonts w:cs="Arial"/>
          <w:bCs/>
          <w:sz w:val="26"/>
          <w:szCs w:val="26"/>
          <w:lang w:val="es-MX"/>
        </w:rPr>
        <w:t>tal</w:t>
      </w:r>
      <w:r w:rsidR="000634BD" w:rsidRPr="00A664F3">
        <w:rPr>
          <w:rFonts w:cs="Arial"/>
          <w:bCs/>
          <w:sz w:val="26"/>
          <w:szCs w:val="26"/>
          <w:lang w:val="es-MX"/>
        </w:rPr>
        <w:t xml:space="preserve"> situación</w:t>
      </w:r>
      <w:r w:rsidR="00596AB5" w:rsidRPr="00A664F3">
        <w:rPr>
          <w:rFonts w:cs="Arial"/>
          <w:bCs/>
          <w:sz w:val="26"/>
          <w:szCs w:val="26"/>
          <w:lang w:val="es-MX"/>
        </w:rPr>
        <w:t>,</w:t>
      </w:r>
      <w:r w:rsidR="002636E6" w:rsidRPr="00A664F3">
        <w:rPr>
          <w:rFonts w:cs="Arial"/>
          <w:bCs/>
          <w:sz w:val="26"/>
          <w:szCs w:val="26"/>
          <w:lang w:val="es-MX"/>
        </w:rPr>
        <w:t xml:space="preserve"> </w:t>
      </w:r>
      <w:r w:rsidR="00596AB5" w:rsidRPr="00A664F3">
        <w:rPr>
          <w:rFonts w:cs="Arial"/>
          <w:bCs/>
          <w:sz w:val="26"/>
          <w:szCs w:val="26"/>
          <w:lang w:val="es-MX"/>
        </w:rPr>
        <w:t>la Suprema Corte considera</w:t>
      </w:r>
      <w:r w:rsidR="006C1B45" w:rsidRPr="00A664F3">
        <w:rPr>
          <w:rFonts w:cs="Arial"/>
          <w:bCs/>
          <w:sz w:val="26"/>
          <w:szCs w:val="26"/>
          <w:lang w:val="es-MX"/>
        </w:rPr>
        <w:t xml:space="preserve"> que en e</w:t>
      </w:r>
      <w:r w:rsidR="00084030" w:rsidRPr="00A664F3">
        <w:rPr>
          <w:rFonts w:cs="Arial"/>
          <w:bCs/>
          <w:sz w:val="26"/>
          <w:szCs w:val="26"/>
          <w:lang w:val="es-MX"/>
        </w:rPr>
        <w:t>ste</w:t>
      </w:r>
      <w:r w:rsidR="006C1B45" w:rsidRPr="00A664F3">
        <w:rPr>
          <w:rFonts w:cs="Arial"/>
          <w:bCs/>
          <w:sz w:val="26"/>
          <w:szCs w:val="26"/>
          <w:lang w:val="es-MX"/>
        </w:rPr>
        <w:t xml:space="preserve"> caso es</w:t>
      </w:r>
      <w:r w:rsidR="007B7552" w:rsidRPr="00A664F3">
        <w:rPr>
          <w:rFonts w:cs="Arial"/>
          <w:bCs/>
          <w:sz w:val="26"/>
          <w:szCs w:val="26"/>
          <w:lang w:val="es-MX"/>
        </w:rPr>
        <w:t xml:space="preserve"> </w:t>
      </w:r>
      <w:r w:rsidR="000B6B45" w:rsidRPr="00A664F3">
        <w:rPr>
          <w:rFonts w:cs="Arial"/>
          <w:bCs/>
          <w:sz w:val="26"/>
          <w:szCs w:val="26"/>
          <w:lang w:val="es-MX"/>
        </w:rPr>
        <w:t>pertinente</w:t>
      </w:r>
      <w:r w:rsidR="00FF3FF0" w:rsidRPr="00A664F3">
        <w:rPr>
          <w:rFonts w:cs="Arial"/>
          <w:sz w:val="26"/>
          <w:szCs w:val="26"/>
        </w:rPr>
        <w:t xml:space="preserve"> </w:t>
      </w:r>
      <w:r w:rsidR="005C340B" w:rsidRPr="00A664F3">
        <w:rPr>
          <w:rFonts w:cs="Arial"/>
          <w:bCs/>
          <w:sz w:val="26"/>
          <w:szCs w:val="26"/>
          <w:lang w:val="es-MX"/>
        </w:rPr>
        <w:t>responder</w:t>
      </w:r>
      <w:r w:rsidR="003E1EE1" w:rsidRPr="00A664F3">
        <w:rPr>
          <w:rFonts w:cs="Arial"/>
          <w:sz w:val="26"/>
          <w:szCs w:val="26"/>
        </w:rPr>
        <w:t xml:space="preserve"> </w:t>
      </w:r>
      <w:r w:rsidR="002636E6" w:rsidRPr="00A664F3">
        <w:rPr>
          <w:rFonts w:cs="Arial"/>
          <w:sz w:val="26"/>
          <w:szCs w:val="26"/>
        </w:rPr>
        <w:t>si</w:t>
      </w:r>
      <w:r w:rsidR="00FF3FF0" w:rsidRPr="00A664F3">
        <w:rPr>
          <w:rFonts w:cs="Arial"/>
          <w:sz w:val="26"/>
          <w:szCs w:val="26"/>
        </w:rPr>
        <w:t xml:space="preserve"> </w:t>
      </w:r>
      <w:r w:rsidR="007C02D8" w:rsidRPr="00A664F3">
        <w:rPr>
          <w:rFonts w:cs="Arial"/>
          <w:sz w:val="26"/>
          <w:szCs w:val="26"/>
        </w:rPr>
        <w:t>para la expedición</w:t>
      </w:r>
      <w:r w:rsidR="00C15D92" w:rsidRPr="00A664F3">
        <w:rPr>
          <w:rFonts w:cs="Arial"/>
          <w:sz w:val="26"/>
          <w:szCs w:val="26"/>
        </w:rPr>
        <w:t xml:space="preserve"> </w:t>
      </w:r>
      <w:r w:rsidR="007C02D8" w:rsidRPr="00A664F3">
        <w:rPr>
          <w:rFonts w:cs="Arial"/>
          <w:sz w:val="26"/>
          <w:szCs w:val="26"/>
        </w:rPr>
        <w:t>d</w:t>
      </w:r>
      <w:r w:rsidR="00C15D92" w:rsidRPr="00A664F3">
        <w:rPr>
          <w:rFonts w:cs="Arial"/>
          <w:sz w:val="26"/>
          <w:szCs w:val="26"/>
        </w:rPr>
        <w:t xml:space="preserve">el </w:t>
      </w:r>
      <w:r w:rsidR="00FF0B8C" w:rsidRPr="00A664F3">
        <w:rPr>
          <w:rFonts w:cs="Arial"/>
          <w:sz w:val="26"/>
          <w:szCs w:val="26"/>
        </w:rPr>
        <w:t>mencionado</w:t>
      </w:r>
      <w:r w:rsidR="000F4946" w:rsidRPr="00A664F3">
        <w:rPr>
          <w:rFonts w:cs="Arial"/>
          <w:sz w:val="26"/>
          <w:szCs w:val="26"/>
        </w:rPr>
        <w:t xml:space="preserve"> </w:t>
      </w:r>
      <w:r w:rsidR="00C15D92" w:rsidRPr="00A664F3">
        <w:rPr>
          <w:rFonts w:cs="Arial"/>
          <w:sz w:val="26"/>
          <w:szCs w:val="26"/>
        </w:rPr>
        <w:t xml:space="preserve">decreto </w:t>
      </w:r>
      <w:r w:rsidR="00297FD2" w:rsidRPr="00A664F3">
        <w:rPr>
          <w:rFonts w:cs="Arial"/>
          <w:sz w:val="26"/>
          <w:szCs w:val="26"/>
        </w:rPr>
        <w:t xml:space="preserve">también </w:t>
      </w:r>
      <w:r w:rsidR="002636E6" w:rsidRPr="00A664F3">
        <w:rPr>
          <w:rFonts w:cs="Arial"/>
          <w:sz w:val="26"/>
          <w:szCs w:val="26"/>
        </w:rPr>
        <w:t xml:space="preserve">existía </w:t>
      </w:r>
      <w:r w:rsidR="000F4946" w:rsidRPr="00A664F3">
        <w:rPr>
          <w:rFonts w:cs="Arial"/>
          <w:sz w:val="26"/>
          <w:szCs w:val="26"/>
        </w:rPr>
        <w:t xml:space="preserve">la </w:t>
      </w:r>
      <w:r w:rsidR="002636E6" w:rsidRPr="00A664F3">
        <w:rPr>
          <w:rFonts w:cs="Arial"/>
          <w:sz w:val="26"/>
          <w:szCs w:val="26"/>
        </w:rPr>
        <w:t>obligación de</w:t>
      </w:r>
      <w:r w:rsidR="00FF3FF0" w:rsidRPr="00A664F3">
        <w:rPr>
          <w:rFonts w:cs="Arial"/>
          <w:sz w:val="26"/>
          <w:szCs w:val="26"/>
        </w:rPr>
        <w:t xml:space="preserve"> llevar a cabo una consulta a las personas con discapacidad </w:t>
      </w:r>
      <w:r w:rsidR="00C15D92" w:rsidRPr="00A664F3">
        <w:rPr>
          <w:rFonts w:cs="Arial"/>
          <w:sz w:val="26"/>
          <w:szCs w:val="26"/>
        </w:rPr>
        <w:t>en</w:t>
      </w:r>
      <w:r w:rsidR="00FF3FF0" w:rsidRPr="00A664F3">
        <w:rPr>
          <w:rFonts w:cs="Arial"/>
          <w:sz w:val="26"/>
          <w:szCs w:val="26"/>
        </w:rPr>
        <w:t xml:space="preserve"> </w:t>
      </w:r>
      <w:r w:rsidR="004A5DE6" w:rsidRPr="00A664F3">
        <w:rPr>
          <w:rFonts w:cs="Arial"/>
          <w:sz w:val="26"/>
          <w:szCs w:val="26"/>
        </w:rPr>
        <w:t>el Estado de Chihuahua</w:t>
      </w:r>
      <w:r w:rsidR="00BA4359" w:rsidRPr="00A664F3">
        <w:rPr>
          <w:rFonts w:cs="Arial"/>
          <w:sz w:val="26"/>
          <w:szCs w:val="26"/>
        </w:rPr>
        <w:t xml:space="preserve"> (</w:t>
      </w:r>
      <w:r w:rsidR="00FF3FF0" w:rsidRPr="00A664F3">
        <w:rPr>
          <w:rFonts w:cs="Arial"/>
          <w:i/>
          <w:sz w:val="26"/>
          <w:szCs w:val="26"/>
        </w:rPr>
        <w:t>supra</w:t>
      </w:r>
      <w:r w:rsidR="00FF3FF0" w:rsidRPr="00A664F3">
        <w:rPr>
          <w:rFonts w:cs="Arial"/>
          <w:sz w:val="26"/>
          <w:szCs w:val="26"/>
        </w:rPr>
        <w:t xml:space="preserve"> párr. 27.2)</w:t>
      </w:r>
      <w:r w:rsidR="000F4946" w:rsidRPr="00A664F3">
        <w:rPr>
          <w:rFonts w:cs="Arial"/>
          <w:sz w:val="26"/>
          <w:szCs w:val="26"/>
        </w:rPr>
        <w:t>.</w:t>
      </w:r>
    </w:p>
    <w:p w:rsidR="002B425B" w:rsidRPr="00A664F3" w:rsidRDefault="000D1874" w:rsidP="005D5EEC">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En vista de los precedentes del Tribunal Pleno</w:t>
      </w:r>
      <w:r w:rsidR="00442196" w:rsidRPr="00A664F3">
        <w:rPr>
          <w:rFonts w:cs="Arial"/>
          <w:sz w:val="26"/>
          <w:szCs w:val="26"/>
          <w:lang w:val="es-MX"/>
        </w:rPr>
        <w:t xml:space="preserve"> relativos al derecho a la consulta de las personas con discapacidad</w:t>
      </w:r>
      <w:r w:rsidR="003150F0" w:rsidRPr="00A664F3">
        <w:rPr>
          <w:rFonts w:cs="Arial"/>
          <w:sz w:val="26"/>
          <w:szCs w:val="26"/>
          <w:lang w:val="es-MX"/>
        </w:rPr>
        <w:t>,</w:t>
      </w:r>
      <w:r w:rsidRPr="00A664F3">
        <w:rPr>
          <w:rFonts w:cs="Arial"/>
          <w:sz w:val="26"/>
          <w:szCs w:val="26"/>
          <w:lang w:val="es-MX"/>
        </w:rPr>
        <w:t xml:space="preserve"> </w:t>
      </w:r>
      <w:r w:rsidRPr="00A664F3">
        <w:rPr>
          <w:rFonts w:cs="Arial"/>
          <w:sz w:val="26"/>
          <w:szCs w:val="26"/>
        </w:rPr>
        <w:t>r</w:t>
      </w:r>
      <w:r w:rsidR="000820C5" w:rsidRPr="00A664F3">
        <w:rPr>
          <w:rFonts w:cs="Arial"/>
          <w:sz w:val="26"/>
          <w:szCs w:val="26"/>
        </w:rPr>
        <w:t>esolver esta cuesti</w:t>
      </w:r>
      <w:r w:rsidR="00CC2614" w:rsidRPr="00A664F3">
        <w:rPr>
          <w:rFonts w:cs="Arial"/>
          <w:sz w:val="26"/>
          <w:szCs w:val="26"/>
        </w:rPr>
        <w:t>ón tampoco representa mayor problema</w:t>
      </w:r>
      <w:r w:rsidR="00CC2614" w:rsidRPr="00A664F3">
        <w:rPr>
          <w:rFonts w:cs="Arial"/>
          <w:sz w:val="26"/>
          <w:szCs w:val="26"/>
          <w:lang w:val="es-MX"/>
        </w:rPr>
        <w:t xml:space="preserve">. </w:t>
      </w:r>
      <w:r w:rsidR="00E63BC3" w:rsidRPr="00A664F3">
        <w:rPr>
          <w:rFonts w:cs="Arial"/>
          <w:sz w:val="26"/>
          <w:szCs w:val="26"/>
          <w:lang w:val="es-MX"/>
        </w:rPr>
        <w:t xml:space="preserve">Como se </w:t>
      </w:r>
      <w:r w:rsidR="00CC6222" w:rsidRPr="00A664F3">
        <w:rPr>
          <w:rFonts w:cs="Arial"/>
          <w:sz w:val="26"/>
          <w:szCs w:val="26"/>
          <w:lang w:val="es-MX"/>
        </w:rPr>
        <w:t>detalla</w:t>
      </w:r>
      <w:r w:rsidR="00E63BC3" w:rsidRPr="00A664F3">
        <w:rPr>
          <w:rFonts w:cs="Arial"/>
          <w:sz w:val="26"/>
          <w:szCs w:val="26"/>
          <w:lang w:val="es-MX"/>
        </w:rPr>
        <w:t xml:space="preserve"> enseguida, </w:t>
      </w:r>
      <w:r w:rsidR="00EB5394" w:rsidRPr="00A664F3">
        <w:rPr>
          <w:rFonts w:cs="Arial"/>
          <w:sz w:val="26"/>
          <w:szCs w:val="26"/>
          <w:lang w:val="es-MX"/>
        </w:rPr>
        <w:t>l</w:t>
      </w:r>
      <w:r w:rsidR="00CC2614" w:rsidRPr="00A664F3">
        <w:rPr>
          <w:rFonts w:cs="Arial"/>
          <w:sz w:val="26"/>
          <w:szCs w:val="26"/>
          <w:lang w:val="es-MX"/>
        </w:rPr>
        <w:t>a Suprema Corte</w:t>
      </w:r>
      <w:r w:rsidR="00EB5394" w:rsidRPr="00A664F3">
        <w:rPr>
          <w:rFonts w:cs="Arial"/>
          <w:sz w:val="26"/>
          <w:szCs w:val="26"/>
          <w:lang w:val="es-MX"/>
        </w:rPr>
        <w:t xml:space="preserve"> ha sostenido de manera reiterada</w:t>
      </w:r>
      <w:r w:rsidR="00CC2614" w:rsidRPr="00A664F3">
        <w:rPr>
          <w:rFonts w:cs="Arial"/>
          <w:sz w:val="26"/>
          <w:szCs w:val="26"/>
          <w:lang w:val="es-MX"/>
        </w:rPr>
        <w:t xml:space="preserve"> que las medidas legislativas que incidan directa o indirectamente en los derechos de las personas con discapacidad de una entidad federativa</w:t>
      </w:r>
      <w:r w:rsidR="00673137" w:rsidRPr="00A664F3">
        <w:rPr>
          <w:rFonts w:cs="Arial"/>
          <w:sz w:val="26"/>
          <w:szCs w:val="26"/>
          <w:lang w:val="es-MX"/>
        </w:rPr>
        <w:t xml:space="preserve"> representan </w:t>
      </w:r>
      <w:r w:rsidR="00673137" w:rsidRPr="00A664F3">
        <w:rPr>
          <w:rFonts w:cs="Arial"/>
          <w:i/>
          <w:sz w:val="26"/>
          <w:szCs w:val="26"/>
          <w:u w:val="single"/>
          <w:lang w:val="es-MX"/>
        </w:rPr>
        <w:t>“decisiones sobre cuestiones relacionadas con las personas con discapacidad”</w:t>
      </w:r>
      <w:r w:rsidR="00673137" w:rsidRPr="00A664F3">
        <w:rPr>
          <w:rFonts w:cs="Arial"/>
          <w:sz w:val="26"/>
          <w:szCs w:val="26"/>
          <w:lang w:val="es-MX"/>
        </w:rPr>
        <w:t xml:space="preserve"> en el sentido del artículo </w:t>
      </w:r>
      <w:r w:rsidR="003D610E" w:rsidRPr="00A664F3">
        <w:rPr>
          <w:rFonts w:cs="Arial"/>
          <w:sz w:val="26"/>
          <w:szCs w:val="26"/>
          <w:lang w:val="es-MX"/>
        </w:rPr>
        <w:t>4.3 de la Convención</w:t>
      </w:r>
      <w:r w:rsidR="003A0333" w:rsidRPr="00A664F3">
        <w:rPr>
          <w:rStyle w:val="Refdenotaalpie"/>
          <w:rFonts w:cs="Arial"/>
          <w:sz w:val="26"/>
          <w:szCs w:val="26"/>
        </w:rPr>
        <w:footnoteReference w:id="76"/>
      </w:r>
      <w:r w:rsidR="003A0333" w:rsidRPr="00A664F3">
        <w:rPr>
          <w:rFonts w:cs="Arial"/>
          <w:sz w:val="26"/>
          <w:szCs w:val="26"/>
          <w:lang w:val="es-MX"/>
        </w:rPr>
        <w:t>.</w:t>
      </w:r>
      <w:r w:rsidR="00673137" w:rsidRPr="00A664F3">
        <w:rPr>
          <w:rFonts w:cs="Arial"/>
          <w:sz w:val="26"/>
          <w:szCs w:val="26"/>
          <w:lang w:val="es-MX"/>
        </w:rPr>
        <w:t xml:space="preserve"> </w:t>
      </w:r>
      <w:r w:rsidR="003238AD" w:rsidRPr="00A664F3">
        <w:rPr>
          <w:rFonts w:cs="Arial"/>
          <w:sz w:val="26"/>
          <w:szCs w:val="26"/>
          <w:lang w:val="es-MX"/>
        </w:rPr>
        <w:t>En consecuencia</w:t>
      </w:r>
      <w:r w:rsidR="001A1FEE" w:rsidRPr="00A664F3">
        <w:rPr>
          <w:rFonts w:cs="Arial"/>
          <w:sz w:val="26"/>
          <w:szCs w:val="26"/>
          <w:lang w:val="es-MX"/>
        </w:rPr>
        <w:t>,</w:t>
      </w:r>
      <w:r w:rsidR="00CC2614" w:rsidRPr="00A664F3">
        <w:rPr>
          <w:rFonts w:cs="Arial"/>
          <w:sz w:val="26"/>
          <w:szCs w:val="26"/>
          <w:lang w:val="es-MX"/>
        </w:rPr>
        <w:t xml:space="preserve"> </w:t>
      </w:r>
      <w:r w:rsidR="003238AD" w:rsidRPr="00A664F3">
        <w:rPr>
          <w:rFonts w:cs="Arial"/>
          <w:sz w:val="26"/>
          <w:szCs w:val="26"/>
          <w:lang w:val="es-MX"/>
        </w:rPr>
        <w:t xml:space="preserve">tales medidas </w:t>
      </w:r>
      <w:r w:rsidR="00CC2614" w:rsidRPr="00A664F3">
        <w:rPr>
          <w:rFonts w:cs="Arial"/>
          <w:sz w:val="26"/>
          <w:szCs w:val="26"/>
          <w:lang w:val="es-MX"/>
        </w:rPr>
        <w:t>deben ser consultadas</w:t>
      </w:r>
      <w:r w:rsidR="00D413DA" w:rsidRPr="00A664F3">
        <w:rPr>
          <w:rFonts w:cs="Arial"/>
          <w:sz w:val="26"/>
          <w:szCs w:val="26"/>
          <w:lang w:val="es-MX"/>
        </w:rPr>
        <w:t xml:space="preserve"> </w:t>
      </w:r>
      <w:r w:rsidR="00CC2614" w:rsidRPr="00A664F3">
        <w:rPr>
          <w:rFonts w:cs="Arial"/>
          <w:sz w:val="26"/>
          <w:szCs w:val="26"/>
          <w:lang w:val="es-MX"/>
        </w:rPr>
        <w:t xml:space="preserve">con </w:t>
      </w:r>
      <w:r w:rsidR="003238AD" w:rsidRPr="00A664F3">
        <w:rPr>
          <w:rFonts w:cs="Arial"/>
          <w:sz w:val="26"/>
          <w:szCs w:val="26"/>
          <w:lang w:val="es-MX"/>
        </w:rPr>
        <w:t>las</w:t>
      </w:r>
      <w:r w:rsidR="00CC2614" w:rsidRPr="00A664F3">
        <w:rPr>
          <w:rFonts w:cs="Arial"/>
          <w:sz w:val="26"/>
          <w:szCs w:val="26"/>
          <w:lang w:val="es-MX"/>
        </w:rPr>
        <w:t xml:space="preserve"> </w:t>
      </w:r>
      <w:r w:rsidR="003238AD" w:rsidRPr="00A664F3">
        <w:rPr>
          <w:rFonts w:cs="Arial"/>
          <w:sz w:val="26"/>
          <w:szCs w:val="26"/>
          <w:lang w:val="es-MX"/>
        </w:rPr>
        <w:t>personas con discapacidad</w:t>
      </w:r>
      <w:r w:rsidR="001A1FEE" w:rsidRPr="00A664F3">
        <w:rPr>
          <w:rFonts w:cs="Arial"/>
          <w:sz w:val="26"/>
          <w:szCs w:val="26"/>
          <w:lang w:val="es-MX"/>
        </w:rPr>
        <w:t xml:space="preserve"> antes de ser adoptadas</w:t>
      </w:r>
      <w:r w:rsidR="00CC2614" w:rsidRPr="00A664F3">
        <w:rPr>
          <w:rFonts w:cs="Arial"/>
          <w:sz w:val="26"/>
          <w:szCs w:val="26"/>
          <w:lang w:val="es-MX"/>
        </w:rPr>
        <w:t xml:space="preserve"> independientemente de que</w:t>
      </w:r>
      <w:r w:rsidR="0065091C" w:rsidRPr="00A664F3">
        <w:rPr>
          <w:rFonts w:cs="Arial"/>
          <w:sz w:val="26"/>
          <w:szCs w:val="26"/>
          <w:lang w:val="es-MX"/>
        </w:rPr>
        <w:t xml:space="preserve"> a juicio del legislador</w:t>
      </w:r>
      <w:r w:rsidR="00CC2614" w:rsidRPr="00A664F3">
        <w:rPr>
          <w:rFonts w:cs="Arial"/>
          <w:sz w:val="26"/>
          <w:szCs w:val="26"/>
          <w:lang w:val="es-MX"/>
        </w:rPr>
        <w:t xml:space="preserve"> puedan resultar</w:t>
      </w:r>
      <w:r w:rsidR="00195757" w:rsidRPr="00A664F3">
        <w:rPr>
          <w:rFonts w:cs="Arial"/>
          <w:sz w:val="26"/>
          <w:szCs w:val="26"/>
          <w:lang w:val="es-MX"/>
        </w:rPr>
        <w:t>les</w:t>
      </w:r>
      <w:r w:rsidR="00CC2614" w:rsidRPr="00A664F3">
        <w:rPr>
          <w:rFonts w:cs="Arial"/>
          <w:sz w:val="26"/>
          <w:szCs w:val="26"/>
          <w:lang w:val="es-MX"/>
        </w:rPr>
        <w:t xml:space="preserve"> </w:t>
      </w:r>
      <w:r w:rsidR="00CC2614" w:rsidRPr="00A664F3">
        <w:rPr>
          <w:rFonts w:cs="Arial"/>
          <w:sz w:val="26"/>
          <w:szCs w:val="26"/>
          <w:lang w:val="es-MX"/>
        </w:rPr>
        <w:lastRenderedPageBreak/>
        <w:t>benéficas.</w:t>
      </w:r>
      <w:r w:rsidR="00E63BC3" w:rsidRPr="00A664F3">
        <w:rPr>
          <w:rFonts w:cs="Arial"/>
          <w:sz w:val="26"/>
          <w:szCs w:val="26"/>
          <w:lang w:val="es-MX"/>
        </w:rPr>
        <w:t xml:space="preserve"> D</w:t>
      </w:r>
      <w:r w:rsidR="00CC2614" w:rsidRPr="00A664F3">
        <w:rPr>
          <w:rFonts w:cs="Arial"/>
          <w:sz w:val="26"/>
          <w:szCs w:val="26"/>
          <w:lang w:val="es-MX"/>
        </w:rPr>
        <w:t>ado</w:t>
      </w:r>
      <w:r w:rsidR="00E63BC3" w:rsidRPr="00A664F3">
        <w:rPr>
          <w:rFonts w:cs="Arial"/>
          <w:sz w:val="26"/>
          <w:szCs w:val="26"/>
          <w:lang w:val="es-MX"/>
        </w:rPr>
        <w:t xml:space="preserve"> </w:t>
      </w:r>
      <w:r w:rsidR="00CC2614" w:rsidRPr="00A664F3">
        <w:rPr>
          <w:rFonts w:cs="Arial"/>
          <w:sz w:val="26"/>
          <w:szCs w:val="26"/>
          <w:lang w:val="es-MX"/>
        </w:rPr>
        <w:t xml:space="preserve">que el contenido del </w:t>
      </w:r>
      <w:r w:rsidR="00195757" w:rsidRPr="00A664F3">
        <w:rPr>
          <w:rFonts w:cs="Arial"/>
          <w:sz w:val="26"/>
          <w:szCs w:val="26"/>
        </w:rPr>
        <w:t>Decreto N° LXVI/RFLEY/0665/2020 III P.E.</w:t>
      </w:r>
      <w:r w:rsidR="009B3ABB" w:rsidRPr="00A664F3">
        <w:rPr>
          <w:rFonts w:cs="Arial"/>
          <w:sz w:val="26"/>
          <w:szCs w:val="26"/>
          <w:lang w:val="es-MX"/>
        </w:rPr>
        <w:t xml:space="preserve"> </w:t>
      </w:r>
      <w:r w:rsidR="00CC2614" w:rsidRPr="00A664F3">
        <w:rPr>
          <w:rFonts w:cs="Arial"/>
          <w:sz w:val="26"/>
          <w:szCs w:val="26"/>
          <w:lang w:val="es-MX"/>
        </w:rPr>
        <w:t xml:space="preserve">incide </w:t>
      </w:r>
      <w:r w:rsidR="00CC2614" w:rsidRPr="00A664F3">
        <w:rPr>
          <w:rFonts w:cs="Arial"/>
          <w:bCs/>
          <w:sz w:val="26"/>
          <w:szCs w:val="26"/>
          <w:lang w:val="es-MX"/>
        </w:rPr>
        <w:t>directamente</w:t>
      </w:r>
      <w:r w:rsidR="00CC2614" w:rsidRPr="00A664F3">
        <w:rPr>
          <w:rFonts w:cs="Arial"/>
          <w:sz w:val="26"/>
          <w:szCs w:val="26"/>
          <w:lang w:val="es-MX"/>
        </w:rPr>
        <w:t xml:space="preserve"> en </w:t>
      </w:r>
      <w:r w:rsidR="00D22978" w:rsidRPr="00A664F3">
        <w:rPr>
          <w:rFonts w:cs="Arial"/>
          <w:sz w:val="26"/>
          <w:szCs w:val="26"/>
          <w:lang w:val="es-MX"/>
        </w:rPr>
        <w:t>el derecho de acceso a la justicia</w:t>
      </w:r>
      <w:r w:rsidR="009B3ABB" w:rsidRPr="00A664F3">
        <w:rPr>
          <w:rFonts w:cs="Arial"/>
          <w:sz w:val="26"/>
          <w:szCs w:val="26"/>
          <w:lang w:val="es-MX"/>
        </w:rPr>
        <w:t xml:space="preserve"> </w:t>
      </w:r>
      <w:r w:rsidR="00CC2614" w:rsidRPr="00A664F3">
        <w:rPr>
          <w:rFonts w:cs="Arial"/>
          <w:sz w:val="26"/>
          <w:szCs w:val="26"/>
          <w:lang w:val="es-MX"/>
        </w:rPr>
        <w:t>de las personas con discapacidad</w:t>
      </w:r>
      <w:r w:rsidR="00955F8D" w:rsidRPr="00A664F3">
        <w:rPr>
          <w:rFonts w:cs="Arial"/>
          <w:sz w:val="26"/>
          <w:szCs w:val="26"/>
          <w:lang w:val="es-MX"/>
        </w:rPr>
        <w:t xml:space="preserve"> visual, auditiva o del habla</w:t>
      </w:r>
      <w:r w:rsidR="00CC2614" w:rsidRPr="00A664F3">
        <w:rPr>
          <w:rFonts w:cs="Arial"/>
          <w:sz w:val="26"/>
          <w:szCs w:val="26"/>
          <w:lang w:val="es-MX"/>
        </w:rPr>
        <w:t>, para expedir</w:t>
      </w:r>
      <w:r w:rsidR="00206DE1" w:rsidRPr="00A664F3">
        <w:rPr>
          <w:rFonts w:cs="Arial"/>
          <w:sz w:val="26"/>
          <w:szCs w:val="26"/>
          <w:lang w:val="es-MX"/>
        </w:rPr>
        <w:t>lo</w:t>
      </w:r>
      <w:r w:rsidR="00CC2614" w:rsidRPr="00A664F3">
        <w:rPr>
          <w:rFonts w:cs="Arial"/>
          <w:sz w:val="26"/>
          <w:szCs w:val="26"/>
          <w:lang w:val="es-MX"/>
        </w:rPr>
        <w:t xml:space="preserve"> las autoridades de Chihuahua se encontraban obligadas a llevar a cabo una consulta </w:t>
      </w:r>
      <w:r w:rsidR="006B24DE" w:rsidRPr="00A664F3">
        <w:rPr>
          <w:rFonts w:cs="Arial"/>
          <w:sz w:val="26"/>
          <w:szCs w:val="26"/>
          <w:lang w:val="es-MX"/>
        </w:rPr>
        <w:t>con</w:t>
      </w:r>
      <w:r w:rsidR="00CC2614" w:rsidRPr="00A664F3">
        <w:rPr>
          <w:rFonts w:cs="Arial"/>
          <w:sz w:val="26"/>
          <w:szCs w:val="26"/>
          <w:lang w:val="es-MX"/>
        </w:rPr>
        <w:t xml:space="preserve"> </w:t>
      </w:r>
      <w:r w:rsidR="007118C6" w:rsidRPr="00A664F3">
        <w:rPr>
          <w:rFonts w:cs="Arial"/>
          <w:sz w:val="26"/>
          <w:szCs w:val="26"/>
          <w:lang w:val="es-MX"/>
        </w:rPr>
        <w:t>estos grupos</w:t>
      </w:r>
      <w:r w:rsidR="00CC2614" w:rsidRPr="00A664F3">
        <w:rPr>
          <w:rFonts w:cs="Arial"/>
          <w:sz w:val="26"/>
          <w:szCs w:val="26"/>
          <w:lang w:val="es-MX"/>
        </w:rPr>
        <w:t xml:space="preserve"> que fuera previa, informada, formal, oportuna, amplia, inclusiva, transparente, apropiada y de buena fe.</w:t>
      </w:r>
    </w:p>
    <w:p w:rsidR="00534401" w:rsidRPr="00A664F3" w:rsidRDefault="00C84DE3" w:rsidP="00534401">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En primer lugar</w:t>
      </w:r>
      <w:r w:rsidR="003D3E05" w:rsidRPr="00A664F3">
        <w:rPr>
          <w:rFonts w:cs="Arial"/>
          <w:sz w:val="26"/>
          <w:szCs w:val="26"/>
          <w:lang w:val="es-MX"/>
        </w:rPr>
        <w:t>, e</w:t>
      </w:r>
      <w:r w:rsidR="002B425B" w:rsidRPr="00A664F3">
        <w:rPr>
          <w:rFonts w:cs="Arial"/>
          <w:sz w:val="26"/>
          <w:szCs w:val="26"/>
          <w:lang w:val="es-MX"/>
        </w:rPr>
        <w:t xml:space="preserve">l artículo </w:t>
      </w:r>
      <w:r w:rsidR="003D610E" w:rsidRPr="00A664F3">
        <w:rPr>
          <w:rFonts w:cs="Arial"/>
          <w:sz w:val="26"/>
          <w:szCs w:val="26"/>
          <w:lang w:val="es-MX"/>
        </w:rPr>
        <w:t>4.3 de la Convención</w:t>
      </w:r>
      <w:r w:rsidR="002B425B" w:rsidRPr="00A664F3">
        <w:rPr>
          <w:rFonts w:cs="Arial"/>
          <w:sz w:val="26"/>
          <w:szCs w:val="26"/>
          <w:lang w:val="es-MX"/>
        </w:rPr>
        <w:t xml:space="preserve"> </w:t>
      </w:r>
      <w:r w:rsidR="000F75B0" w:rsidRPr="00A664F3">
        <w:rPr>
          <w:rFonts w:cs="Arial"/>
          <w:sz w:val="26"/>
          <w:szCs w:val="26"/>
          <w:lang w:val="es-MX"/>
        </w:rPr>
        <w:t>dispone</w:t>
      </w:r>
      <w:r w:rsidR="00F12E75" w:rsidRPr="00A664F3">
        <w:rPr>
          <w:rFonts w:cs="Arial"/>
          <w:sz w:val="26"/>
          <w:szCs w:val="26"/>
          <w:lang w:val="es-MX"/>
        </w:rPr>
        <w:t xml:space="preserve"> expresamente </w:t>
      </w:r>
      <w:r w:rsidR="000F75B0" w:rsidRPr="00A664F3">
        <w:rPr>
          <w:rFonts w:cs="Arial"/>
          <w:sz w:val="26"/>
          <w:szCs w:val="26"/>
          <w:lang w:val="es-MX"/>
        </w:rPr>
        <w:t>que</w:t>
      </w:r>
      <w:r w:rsidR="00F12E75" w:rsidRPr="00A664F3">
        <w:rPr>
          <w:rFonts w:cs="Arial"/>
          <w:sz w:val="26"/>
          <w:szCs w:val="26"/>
          <w:lang w:val="es-MX"/>
        </w:rPr>
        <w:t xml:space="preserve"> las autoridades de los Estados Parte</w:t>
      </w:r>
      <w:r w:rsidR="000F75B0" w:rsidRPr="00A664F3">
        <w:rPr>
          <w:rFonts w:cs="Arial"/>
          <w:sz w:val="26"/>
          <w:szCs w:val="26"/>
          <w:lang w:val="es-MX"/>
        </w:rPr>
        <w:t xml:space="preserve"> se encuentran obligadas</w:t>
      </w:r>
      <w:r w:rsidR="002B425B" w:rsidRPr="00A664F3">
        <w:rPr>
          <w:rFonts w:cs="Arial"/>
          <w:sz w:val="26"/>
          <w:szCs w:val="26"/>
          <w:lang w:val="es-MX"/>
        </w:rPr>
        <w:t xml:space="preserve"> </w:t>
      </w:r>
      <w:r w:rsidR="000F68DB" w:rsidRPr="00A664F3">
        <w:rPr>
          <w:rFonts w:cs="Arial"/>
          <w:sz w:val="26"/>
          <w:szCs w:val="26"/>
          <w:lang w:val="es-MX"/>
        </w:rPr>
        <w:t>“</w:t>
      </w:r>
      <w:r w:rsidR="002B425B" w:rsidRPr="00A664F3">
        <w:rPr>
          <w:rFonts w:cs="Arial"/>
          <w:i/>
          <w:sz w:val="26"/>
          <w:szCs w:val="26"/>
          <w:u w:val="single"/>
          <w:lang w:val="es-MX"/>
        </w:rPr>
        <w:t xml:space="preserve">a </w:t>
      </w:r>
      <w:r w:rsidR="005C1532" w:rsidRPr="00A664F3">
        <w:rPr>
          <w:rFonts w:cs="Arial"/>
          <w:i/>
          <w:sz w:val="26"/>
          <w:szCs w:val="26"/>
          <w:u w:val="single"/>
          <w:lang w:val="es-MX"/>
        </w:rPr>
        <w:t>celebrar consultas estrechas con</w:t>
      </w:r>
      <w:r w:rsidR="00381F8C" w:rsidRPr="00A664F3">
        <w:rPr>
          <w:rFonts w:cs="Arial"/>
          <w:i/>
          <w:sz w:val="26"/>
          <w:szCs w:val="26"/>
          <w:u w:val="single"/>
          <w:lang w:val="es-MX"/>
        </w:rPr>
        <w:t xml:space="preserve"> las</w:t>
      </w:r>
      <w:r w:rsidR="005F2B60" w:rsidRPr="00A664F3">
        <w:rPr>
          <w:rFonts w:cs="Arial"/>
          <w:i/>
          <w:sz w:val="26"/>
          <w:szCs w:val="26"/>
          <w:u w:val="single"/>
          <w:lang w:val="es-MX"/>
        </w:rPr>
        <w:t xml:space="preserve"> personas con discapacidad</w:t>
      </w:r>
      <w:r w:rsidR="001F53EB" w:rsidRPr="00A664F3">
        <w:rPr>
          <w:rFonts w:cs="Arial"/>
          <w:i/>
          <w:sz w:val="26"/>
          <w:szCs w:val="26"/>
          <w:u w:val="single"/>
          <w:lang w:val="es-MX"/>
        </w:rPr>
        <w:t xml:space="preserve"> </w:t>
      </w:r>
      <w:r w:rsidR="007A00B6" w:rsidRPr="00A664F3">
        <w:rPr>
          <w:rFonts w:cs="Arial"/>
          <w:i/>
          <w:sz w:val="26"/>
          <w:szCs w:val="26"/>
          <w:u w:val="single"/>
          <w:lang w:val="es-MX"/>
        </w:rPr>
        <w:t>en</w:t>
      </w:r>
      <w:r w:rsidR="005F2B60" w:rsidRPr="00A664F3">
        <w:rPr>
          <w:rFonts w:cs="Arial"/>
          <w:i/>
          <w:sz w:val="26"/>
          <w:szCs w:val="26"/>
          <w:u w:val="single"/>
          <w:lang w:val="es-MX"/>
        </w:rPr>
        <w:t xml:space="preserve"> la elaboración y aplicación de</w:t>
      </w:r>
      <w:r w:rsidR="00381F8C" w:rsidRPr="00A664F3">
        <w:rPr>
          <w:rFonts w:cs="Arial"/>
          <w:i/>
          <w:sz w:val="26"/>
          <w:szCs w:val="26"/>
          <w:u w:val="single"/>
          <w:lang w:val="es-MX"/>
        </w:rPr>
        <w:t xml:space="preserve"> l</w:t>
      </w:r>
      <w:r w:rsidR="005F2B60" w:rsidRPr="00A664F3">
        <w:rPr>
          <w:rFonts w:cs="Arial"/>
          <w:i/>
          <w:sz w:val="26"/>
          <w:szCs w:val="26"/>
          <w:u w:val="single"/>
          <w:lang w:val="es-MX"/>
        </w:rPr>
        <w:t>egislación y políticas para hacer efectiva la Convención</w:t>
      </w:r>
      <w:r w:rsidR="002B6012" w:rsidRPr="00A664F3">
        <w:rPr>
          <w:rFonts w:cs="Arial"/>
          <w:i/>
          <w:sz w:val="26"/>
          <w:szCs w:val="26"/>
          <w:u w:val="single"/>
          <w:lang w:val="es-MX"/>
        </w:rPr>
        <w:t>,</w:t>
      </w:r>
      <w:r w:rsidR="005F2B60" w:rsidRPr="00A664F3">
        <w:rPr>
          <w:rFonts w:cs="Arial"/>
          <w:i/>
          <w:sz w:val="26"/>
          <w:szCs w:val="26"/>
          <w:u w:val="single"/>
          <w:lang w:val="es-MX"/>
        </w:rPr>
        <w:t xml:space="preserve"> y en otros procesos de adopción de decisiones </w:t>
      </w:r>
      <w:r w:rsidR="00052FC4" w:rsidRPr="00A664F3">
        <w:rPr>
          <w:rFonts w:cs="Arial"/>
          <w:i/>
          <w:sz w:val="26"/>
          <w:szCs w:val="26"/>
          <w:u w:val="single"/>
          <w:lang w:val="es-MX"/>
        </w:rPr>
        <w:t>sobre cuestiones relacionadas con las personas con discapacidad</w:t>
      </w:r>
      <w:r w:rsidR="000F68DB" w:rsidRPr="00A664F3">
        <w:rPr>
          <w:rFonts w:cs="Arial"/>
          <w:sz w:val="26"/>
          <w:szCs w:val="26"/>
          <w:lang w:val="es-MX"/>
        </w:rPr>
        <w:t>”</w:t>
      </w:r>
      <w:r w:rsidR="002C05EA" w:rsidRPr="00A664F3">
        <w:rPr>
          <w:rStyle w:val="Refdenotaalpie"/>
          <w:rFonts w:cs="Arial"/>
          <w:sz w:val="26"/>
          <w:szCs w:val="26"/>
        </w:rPr>
        <w:footnoteReference w:id="77"/>
      </w:r>
      <w:r w:rsidR="00052FC4" w:rsidRPr="00A664F3">
        <w:rPr>
          <w:rFonts w:cs="Arial"/>
          <w:sz w:val="26"/>
          <w:szCs w:val="26"/>
          <w:lang w:val="es-MX"/>
        </w:rPr>
        <w:t xml:space="preserve">. </w:t>
      </w:r>
      <w:r w:rsidR="00065E52" w:rsidRPr="00A664F3">
        <w:rPr>
          <w:rFonts w:cs="Arial"/>
          <w:sz w:val="26"/>
          <w:szCs w:val="26"/>
          <w:lang w:val="es-MX"/>
        </w:rPr>
        <w:t>Dado</w:t>
      </w:r>
      <w:r w:rsidR="007A00B6" w:rsidRPr="00A664F3">
        <w:rPr>
          <w:rFonts w:cs="Arial"/>
          <w:sz w:val="26"/>
          <w:szCs w:val="26"/>
          <w:lang w:val="es-MX"/>
        </w:rPr>
        <w:t xml:space="preserve"> que este precepto forma parte del parámetro de regularidad constitucional</w:t>
      </w:r>
      <w:r w:rsidR="003906C5" w:rsidRPr="00A664F3">
        <w:rPr>
          <w:rFonts w:cs="Arial"/>
          <w:sz w:val="26"/>
          <w:szCs w:val="26"/>
          <w:lang w:val="es-MX"/>
        </w:rPr>
        <w:t xml:space="preserve"> en términos del artículo 1° de la Constitución Federal</w:t>
      </w:r>
      <w:r w:rsidR="003906C5" w:rsidRPr="00A664F3">
        <w:rPr>
          <w:rStyle w:val="Refdenotaalpie"/>
          <w:rFonts w:cs="Arial"/>
          <w:sz w:val="26"/>
          <w:szCs w:val="26"/>
        </w:rPr>
        <w:footnoteReference w:id="78"/>
      </w:r>
      <w:r w:rsidR="007A00B6" w:rsidRPr="00A664F3">
        <w:rPr>
          <w:rFonts w:cs="Arial"/>
          <w:sz w:val="26"/>
          <w:szCs w:val="26"/>
          <w:lang w:val="es-MX"/>
        </w:rPr>
        <w:t xml:space="preserve">, </w:t>
      </w:r>
      <w:r w:rsidR="002F7A00" w:rsidRPr="00A664F3">
        <w:rPr>
          <w:rFonts w:cs="Arial"/>
          <w:sz w:val="26"/>
          <w:szCs w:val="26"/>
          <w:lang w:val="es-MX"/>
        </w:rPr>
        <w:t>cualquier</w:t>
      </w:r>
      <w:r w:rsidR="002B1D8D" w:rsidRPr="00A664F3">
        <w:rPr>
          <w:rFonts w:cs="Arial"/>
          <w:sz w:val="26"/>
          <w:szCs w:val="26"/>
          <w:lang w:val="es-MX"/>
        </w:rPr>
        <w:t xml:space="preserve"> nueva</w:t>
      </w:r>
      <w:r w:rsidR="007A00B6" w:rsidRPr="00A664F3">
        <w:rPr>
          <w:rFonts w:cs="Arial"/>
          <w:sz w:val="26"/>
          <w:szCs w:val="26"/>
          <w:lang w:val="es-MX"/>
        </w:rPr>
        <w:t xml:space="preserve"> legislación </w:t>
      </w:r>
      <w:r w:rsidR="004B5823" w:rsidRPr="00A664F3">
        <w:rPr>
          <w:rFonts w:cs="Arial"/>
          <w:sz w:val="26"/>
          <w:szCs w:val="26"/>
          <w:lang w:val="es-MX"/>
        </w:rPr>
        <w:t>expedida por</w:t>
      </w:r>
      <w:r w:rsidR="00F12E75" w:rsidRPr="00A664F3">
        <w:rPr>
          <w:rFonts w:cs="Arial"/>
          <w:sz w:val="26"/>
          <w:szCs w:val="26"/>
          <w:lang w:val="es-MX"/>
        </w:rPr>
        <w:t xml:space="preserve"> una entidad federativa </w:t>
      </w:r>
      <w:r w:rsidR="007A00B6" w:rsidRPr="00A664F3">
        <w:rPr>
          <w:rFonts w:cs="Arial"/>
          <w:sz w:val="26"/>
          <w:szCs w:val="26"/>
          <w:lang w:val="es-MX"/>
        </w:rPr>
        <w:t>que</w:t>
      </w:r>
      <w:r w:rsidR="00273E34" w:rsidRPr="00A664F3">
        <w:rPr>
          <w:rFonts w:cs="Arial"/>
          <w:sz w:val="26"/>
          <w:szCs w:val="26"/>
          <w:lang w:val="es-MX"/>
        </w:rPr>
        <w:t xml:space="preserve"> represente una</w:t>
      </w:r>
      <w:r w:rsidR="007A00B6" w:rsidRPr="00A664F3">
        <w:rPr>
          <w:rFonts w:cs="Arial"/>
          <w:sz w:val="26"/>
          <w:szCs w:val="26"/>
          <w:lang w:val="es-MX"/>
        </w:rPr>
        <w:t xml:space="preserve"> </w:t>
      </w:r>
      <w:r w:rsidR="00273E34" w:rsidRPr="00A664F3">
        <w:rPr>
          <w:rFonts w:cs="Arial"/>
          <w:sz w:val="26"/>
          <w:szCs w:val="26"/>
          <w:lang w:val="es-MX"/>
        </w:rPr>
        <w:t xml:space="preserve">decisión </w:t>
      </w:r>
      <w:r w:rsidR="007A00B6" w:rsidRPr="00A664F3">
        <w:rPr>
          <w:rFonts w:cs="Arial"/>
          <w:sz w:val="26"/>
          <w:szCs w:val="26"/>
          <w:lang w:val="es-MX"/>
        </w:rPr>
        <w:t xml:space="preserve">sobre cuestiones relacionadas con las personas con discapacidad </w:t>
      </w:r>
      <w:r w:rsidR="00F64071" w:rsidRPr="00A664F3">
        <w:rPr>
          <w:rFonts w:cs="Arial"/>
          <w:sz w:val="26"/>
          <w:szCs w:val="26"/>
          <w:lang w:val="es-MX"/>
        </w:rPr>
        <w:t>y en cuyo</w:t>
      </w:r>
      <w:r w:rsidR="00273E34" w:rsidRPr="00A664F3">
        <w:rPr>
          <w:rFonts w:cs="Arial"/>
          <w:sz w:val="26"/>
          <w:szCs w:val="26"/>
          <w:lang w:val="es-MX"/>
        </w:rPr>
        <w:t xml:space="preserve"> proceso de adopción </w:t>
      </w:r>
      <w:r w:rsidR="007A00B6" w:rsidRPr="00A664F3">
        <w:rPr>
          <w:rFonts w:cs="Arial"/>
          <w:sz w:val="26"/>
          <w:szCs w:val="26"/>
          <w:lang w:val="es-MX"/>
        </w:rPr>
        <w:t xml:space="preserve">no </w:t>
      </w:r>
      <w:r w:rsidR="00F64071" w:rsidRPr="00A664F3">
        <w:rPr>
          <w:rFonts w:cs="Arial"/>
          <w:sz w:val="26"/>
          <w:szCs w:val="26"/>
          <w:lang w:val="es-MX"/>
        </w:rPr>
        <w:t xml:space="preserve">se </w:t>
      </w:r>
      <w:r w:rsidR="007A00B6" w:rsidRPr="00A664F3">
        <w:rPr>
          <w:rFonts w:cs="Arial"/>
          <w:sz w:val="26"/>
          <w:szCs w:val="26"/>
          <w:lang w:val="es-MX"/>
        </w:rPr>
        <w:t xml:space="preserve">haya </w:t>
      </w:r>
      <w:r w:rsidR="00F64071" w:rsidRPr="00A664F3">
        <w:rPr>
          <w:rFonts w:cs="Arial"/>
          <w:sz w:val="26"/>
          <w:szCs w:val="26"/>
          <w:lang w:val="es-MX"/>
        </w:rPr>
        <w:t>celebrado una consulta</w:t>
      </w:r>
      <w:r w:rsidR="007A00B6" w:rsidRPr="00A664F3">
        <w:rPr>
          <w:rFonts w:cs="Arial"/>
          <w:sz w:val="26"/>
          <w:szCs w:val="26"/>
          <w:lang w:val="es-MX"/>
        </w:rPr>
        <w:t xml:space="preserve"> </w:t>
      </w:r>
      <w:r w:rsidR="00F64071" w:rsidRPr="00A664F3">
        <w:rPr>
          <w:rFonts w:cs="Arial"/>
          <w:sz w:val="26"/>
          <w:szCs w:val="26"/>
          <w:lang w:val="es-MX"/>
        </w:rPr>
        <w:t xml:space="preserve">estrecha </w:t>
      </w:r>
      <w:r w:rsidR="007A00B6" w:rsidRPr="00A664F3">
        <w:rPr>
          <w:rFonts w:cs="Arial"/>
          <w:sz w:val="26"/>
          <w:szCs w:val="26"/>
          <w:lang w:val="es-MX"/>
        </w:rPr>
        <w:t>con es</w:t>
      </w:r>
      <w:r w:rsidR="00F12E75" w:rsidRPr="00A664F3">
        <w:rPr>
          <w:rFonts w:cs="Arial"/>
          <w:sz w:val="26"/>
          <w:szCs w:val="26"/>
          <w:lang w:val="es-MX"/>
        </w:rPr>
        <w:t>t</w:t>
      </w:r>
      <w:r w:rsidR="004A41D4" w:rsidRPr="00A664F3">
        <w:rPr>
          <w:rFonts w:cs="Arial"/>
          <w:sz w:val="26"/>
          <w:szCs w:val="26"/>
          <w:lang w:val="es-MX"/>
        </w:rPr>
        <w:t>o</w:t>
      </w:r>
      <w:r w:rsidR="007A00B6" w:rsidRPr="00A664F3">
        <w:rPr>
          <w:rFonts w:cs="Arial"/>
          <w:sz w:val="26"/>
          <w:szCs w:val="26"/>
          <w:lang w:val="es-MX"/>
        </w:rPr>
        <w:t xml:space="preserve">s </w:t>
      </w:r>
      <w:r w:rsidR="004A41D4" w:rsidRPr="00A664F3">
        <w:rPr>
          <w:rFonts w:cs="Arial"/>
          <w:sz w:val="26"/>
          <w:szCs w:val="26"/>
          <w:lang w:val="es-MX"/>
        </w:rPr>
        <w:t>grupos</w:t>
      </w:r>
      <w:r w:rsidR="001F53EB" w:rsidRPr="00A664F3">
        <w:rPr>
          <w:rFonts w:cs="Arial"/>
          <w:sz w:val="26"/>
          <w:szCs w:val="26"/>
          <w:lang w:val="es-MX"/>
        </w:rPr>
        <w:t xml:space="preserve"> a trav</w:t>
      </w:r>
      <w:r w:rsidR="004A41D4" w:rsidRPr="00A664F3">
        <w:rPr>
          <w:rFonts w:cs="Arial"/>
          <w:sz w:val="26"/>
          <w:szCs w:val="26"/>
          <w:lang w:val="es-MX"/>
        </w:rPr>
        <w:t>és de las organizaciones que lo</w:t>
      </w:r>
      <w:r w:rsidR="001F53EB" w:rsidRPr="00A664F3">
        <w:rPr>
          <w:rFonts w:cs="Arial"/>
          <w:sz w:val="26"/>
          <w:szCs w:val="26"/>
          <w:lang w:val="es-MX"/>
        </w:rPr>
        <w:t>s representan,</w:t>
      </w:r>
      <w:r w:rsidR="007A00B6" w:rsidRPr="00A664F3">
        <w:rPr>
          <w:rFonts w:cs="Arial"/>
          <w:sz w:val="26"/>
          <w:szCs w:val="26"/>
          <w:lang w:val="es-MX"/>
        </w:rPr>
        <w:t xml:space="preserve"> es inconstitucional</w:t>
      </w:r>
      <w:r w:rsidR="004A41D4" w:rsidRPr="00A664F3">
        <w:rPr>
          <w:rFonts w:cs="Arial"/>
          <w:sz w:val="26"/>
          <w:szCs w:val="26"/>
          <w:lang w:val="es-MX"/>
        </w:rPr>
        <w:t xml:space="preserve"> por violar la Convención</w:t>
      </w:r>
      <w:r w:rsidR="007A00B6" w:rsidRPr="00A664F3">
        <w:rPr>
          <w:rFonts w:cs="Arial"/>
          <w:sz w:val="26"/>
          <w:szCs w:val="26"/>
          <w:lang w:val="es-MX"/>
        </w:rPr>
        <w:t>.</w:t>
      </w:r>
      <w:r w:rsidR="00937148" w:rsidRPr="00A664F3">
        <w:rPr>
          <w:rFonts w:cs="Arial"/>
          <w:sz w:val="26"/>
          <w:szCs w:val="26"/>
          <w:lang w:val="es-MX"/>
        </w:rPr>
        <w:t xml:space="preserve"> Lo decisivo</w:t>
      </w:r>
      <w:r w:rsidR="002233AA" w:rsidRPr="00A664F3">
        <w:rPr>
          <w:rFonts w:cs="Arial"/>
          <w:sz w:val="26"/>
          <w:szCs w:val="26"/>
          <w:lang w:val="es-MX"/>
        </w:rPr>
        <w:t xml:space="preserve"> aquí</w:t>
      </w:r>
      <w:r w:rsidR="0074584F" w:rsidRPr="00A664F3">
        <w:rPr>
          <w:rFonts w:cs="Arial"/>
          <w:sz w:val="26"/>
          <w:szCs w:val="26"/>
          <w:lang w:val="es-MX"/>
        </w:rPr>
        <w:t>, por tanto,</w:t>
      </w:r>
      <w:r w:rsidR="00CB026B" w:rsidRPr="00A664F3">
        <w:rPr>
          <w:rFonts w:cs="Arial"/>
          <w:sz w:val="26"/>
          <w:szCs w:val="26"/>
          <w:lang w:val="es-MX"/>
        </w:rPr>
        <w:t xml:space="preserve"> es</w:t>
      </w:r>
      <w:r w:rsidR="006C1C6A" w:rsidRPr="00A664F3">
        <w:rPr>
          <w:rFonts w:cs="Arial"/>
          <w:sz w:val="26"/>
          <w:szCs w:val="26"/>
          <w:lang w:val="es-MX"/>
        </w:rPr>
        <w:t xml:space="preserve"> dilucidar</w:t>
      </w:r>
      <w:r w:rsidR="00C16CA1" w:rsidRPr="00A664F3">
        <w:rPr>
          <w:rFonts w:cs="Arial"/>
          <w:sz w:val="26"/>
          <w:szCs w:val="26"/>
          <w:lang w:val="es-MX"/>
        </w:rPr>
        <w:t xml:space="preserve"> </w:t>
      </w:r>
      <w:r w:rsidR="000F75B0" w:rsidRPr="00A664F3">
        <w:rPr>
          <w:rFonts w:cs="Arial"/>
          <w:sz w:val="26"/>
          <w:szCs w:val="26"/>
          <w:lang w:val="es-MX"/>
        </w:rPr>
        <w:t xml:space="preserve">si en el caso concreto la </w:t>
      </w:r>
      <w:r w:rsidR="00265A6B" w:rsidRPr="00A664F3">
        <w:rPr>
          <w:rFonts w:cs="Arial"/>
          <w:sz w:val="26"/>
          <w:szCs w:val="26"/>
          <w:lang w:val="es-MX"/>
        </w:rPr>
        <w:t>legislación</w:t>
      </w:r>
      <w:r w:rsidR="000F75B0" w:rsidRPr="00A664F3">
        <w:rPr>
          <w:rFonts w:cs="Arial"/>
          <w:sz w:val="26"/>
          <w:szCs w:val="26"/>
          <w:lang w:val="es-MX"/>
        </w:rPr>
        <w:t xml:space="preserve"> adoptada </w:t>
      </w:r>
      <w:r w:rsidR="00920CCE" w:rsidRPr="00A664F3">
        <w:rPr>
          <w:rFonts w:cs="Arial"/>
          <w:sz w:val="26"/>
          <w:szCs w:val="26"/>
          <w:lang w:val="es-MX"/>
        </w:rPr>
        <w:t>por el Congreso de</w:t>
      </w:r>
      <w:r w:rsidR="004A76C0" w:rsidRPr="00A664F3">
        <w:rPr>
          <w:rFonts w:cs="Arial"/>
          <w:sz w:val="26"/>
          <w:szCs w:val="26"/>
          <w:lang w:val="es-MX"/>
        </w:rPr>
        <w:t>l Estado de</w:t>
      </w:r>
      <w:r w:rsidR="00920CCE" w:rsidRPr="00A664F3">
        <w:rPr>
          <w:rFonts w:cs="Arial"/>
          <w:sz w:val="26"/>
          <w:szCs w:val="26"/>
          <w:lang w:val="es-MX"/>
        </w:rPr>
        <w:t xml:space="preserve"> Chihuahua </w:t>
      </w:r>
      <w:r w:rsidR="000F75B0" w:rsidRPr="00A664F3">
        <w:rPr>
          <w:rFonts w:cs="Arial"/>
          <w:sz w:val="26"/>
          <w:szCs w:val="26"/>
          <w:lang w:val="es-MX"/>
        </w:rPr>
        <w:t>versa sobre cuestiones relacionadas con las personas con discapacidad</w:t>
      </w:r>
      <w:r w:rsidR="00920CCE" w:rsidRPr="00A664F3">
        <w:rPr>
          <w:rFonts w:cs="Arial"/>
          <w:sz w:val="26"/>
          <w:szCs w:val="26"/>
          <w:lang w:val="es-MX"/>
        </w:rPr>
        <w:t xml:space="preserve"> </w:t>
      </w:r>
      <w:r w:rsidR="00534401" w:rsidRPr="00A664F3">
        <w:rPr>
          <w:rFonts w:cs="Arial"/>
          <w:sz w:val="26"/>
          <w:szCs w:val="26"/>
          <w:lang w:val="es-MX"/>
        </w:rPr>
        <w:t>en el sentido de este</w:t>
      </w:r>
      <w:r w:rsidR="002F7A00" w:rsidRPr="00A664F3">
        <w:rPr>
          <w:rFonts w:cs="Arial"/>
          <w:sz w:val="26"/>
          <w:szCs w:val="26"/>
          <w:lang w:val="es-MX"/>
        </w:rPr>
        <w:t xml:space="preserve"> </w:t>
      </w:r>
      <w:r w:rsidR="00534401" w:rsidRPr="00A664F3">
        <w:rPr>
          <w:rFonts w:cs="Arial"/>
          <w:sz w:val="26"/>
          <w:szCs w:val="26"/>
          <w:lang w:val="es-MX"/>
        </w:rPr>
        <w:t>precepto convencional</w:t>
      </w:r>
      <w:r w:rsidR="000F75B0" w:rsidRPr="00A664F3">
        <w:rPr>
          <w:rFonts w:cs="Arial"/>
          <w:sz w:val="26"/>
          <w:szCs w:val="26"/>
          <w:lang w:val="es-MX"/>
        </w:rPr>
        <w:t>.</w:t>
      </w:r>
    </w:p>
    <w:p w:rsidR="003559B2" w:rsidRPr="00A664F3" w:rsidRDefault="00534401" w:rsidP="007834AE">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P</w:t>
      </w:r>
      <w:r w:rsidR="00CF3BE3" w:rsidRPr="00A664F3">
        <w:rPr>
          <w:rFonts w:cs="Arial"/>
          <w:sz w:val="26"/>
          <w:szCs w:val="26"/>
          <w:lang w:val="es-MX"/>
        </w:rPr>
        <w:t>ara determinar si un</w:t>
      </w:r>
      <w:r w:rsidR="00CA4121" w:rsidRPr="00A664F3">
        <w:rPr>
          <w:rFonts w:cs="Arial"/>
          <w:sz w:val="26"/>
          <w:szCs w:val="26"/>
          <w:lang w:val="es-MX"/>
        </w:rPr>
        <w:t xml:space="preserve"> </w:t>
      </w:r>
      <w:r w:rsidR="00CF3BE3" w:rsidRPr="00A664F3">
        <w:rPr>
          <w:rFonts w:cs="Arial"/>
          <w:sz w:val="26"/>
          <w:szCs w:val="26"/>
          <w:lang w:val="es-MX"/>
        </w:rPr>
        <w:t xml:space="preserve">proceso decisorio </w:t>
      </w:r>
      <w:r w:rsidR="002F7A00" w:rsidRPr="00A664F3">
        <w:rPr>
          <w:rFonts w:cs="Arial"/>
          <w:sz w:val="26"/>
          <w:szCs w:val="26"/>
          <w:lang w:val="es-MX"/>
        </w:rPr>
        <w:t xml:space="preserve">en específico </w:t>
      </w:r>
      <w:r w:rsidR="00CF3BE3" w:rsidRPr="00A664F3">
        <w:rPr>
          <w:rFonts w:cs="Arial"/>
          <w:sz w:val="26"/>
          <w:szCs w:val="26"/>
          <w:lang w:val="es-MX"/>
        </w:rPr>
        <w:t xml:space="preserve">amerita consulta por actualizar </w:t>
      </w:r>
      <w:r w:rsidR="00016AF5" w:rsidRPr="00A664F3">
        <w:rPr>
          <w:rFonts w:cs="Arial"/>
          <w:sz w:val="26"/>
          <w:szCs w:val="26"/>
          <w:lang w:val="es-MX"/>
        </w:rPr>
        <w:t>e</w:t>
      </w:r>
      <w:r w:rsidRPr="00A664F3">
        <w:rPr>
          <w:rFonts w:cs="Arial"/>
          <w:sz w:val="26"/>
          <w:szCs w:val="26"/>
          <w:lang w:val="es-MX"/>
        </w:rPr>
        <w:t>ste</w:t>
      </w:r>
      <w:r w:rsidR="00CF3BE3" w:rsidRPr="00A664F3">
        <w:rPr>
          <w:rFonts w:cs="Arial"/>
          <w:sz w:val="26"/>
          <w:szCs w:val="26"/>
          <w:lang w:val="es-MX"/>
        </w:rPr>
        <w:t xml:space="preserve"> supuesto</w:t>
      </w:r>
      <w:r w:rsidR="004A76C0" w:rsidRPr="00A664F3">
        <w:rPr>
          <w:rFonts w:cs="Arial"/>
          <w:sz w:val="26"/>
          <w:szCs w:val="26"/>
          <w:lang w:val="es-MX"/>
        </w:rPr>
        <w:t>,</w:t>
      </w:r>
      <w:r w:rsidR="00016AF5" w:rsidRPr="00A664F3">
        <w:rPr>
          <w:rFonts w:cs="Arial"/>
          <w:sz w:val="26"/>
          <w:szCs w:val="26"/>
          <w:lang w:val="es-MX"/>
        </w:rPr>
        <w:t xml:space="preserve"> </w:t>
      </w:r>
      <w:r w:rsidR="007834AE" w:rsidRPr="00A664F3">
        <w:rPr>
          <w:rFonts w:cs="Arial"/>
          <w:sz w:val="26"/>
          <w:szCs w:val="26"/>
          <w:lang w:val="es-MX"/>
        </w:rPr>
        <w:t>en asuntos recientes</w:t>
      </w:r>
      <w:r w:rsidR="00581CF9" w:rsidRPr="00A664F3">
        <w:rPr>
          <w:rFonts w:cs="Arial"/>
          <w:sz w:val="26"/>
          <w:szCs w:val="26"/>
          <w:lang w:val="es-MX"/>
        </w:rPr>
        <w:t xml:space="preserve"> </w:t>
      </w:r>
      <w:r w:rsidR="003A28A9" w:rsidRPr="00A664F3">
        <w:rPr>
          <w:rFonts w:cs="Arial"/>
          <w:sz w:val="26"/>
          <w:szCs w:val="26"/>
          <w:lang w:val="es-MX"/>
        </w:rPr>
        <w:t xml:space="preserve">tanto </w:t>
      </w:r>
      <w:r w:rsidR="00937148" w:rsidRPr="00A664F3">
        <w:rPr>
          <w:rFonts w:cs="Arial"/>
          <w:sz w:val="26"/>
          <w:szCs w:val="26"/>
          <w:lang w:val="es-MX"/>
        </w:rPr>
        <w:t>e</w:t>
      </w:r>
      <w:r w:rsidR="00052FC4" w:rsidRPr="00A664F3">
        <w:rPr>
          <w:rFonts w:cs="Arial"/>
          <w:sz w:val="26"/>
          <w:szCs w:val="26"/>
          <w:lang w:val="es-MX"/>
        </w:rPr>
        <w:t xml:space="preserve">l </w:t>
      </w:r>
      <w:r w:rsidR="0093645A" w:rsidRPr="00A664F3">
        <w:rPr>
          <w:rFonts w:cs="Arial"/>
          <w:sz w:val="26"/>
          <w:szCs w:val="26"/>
          <w:lang w:val="es-MX"/>
        </w:rPr>
        <w:t xml:space="preserve">Tribunal </w:t>
      </w:r>
      <w:r w:rsidR="00052FC4" w:rsidRPr="00A664F3">
        <w:rPr>
          <w:rFonts w:cs="Arial"/>
          <w:sz w:val="26"/>
          <w:szCs w:val="26"/>
          <w:lang w:val="es-MX"/>
        </w:rPr>
        <w:t>Pleno</w:t>
      </w:r>
      <w:r w:rsidR="003A28A9" w:rsidRPr="00A664F3">
        <w:rPr>
          <w:rFonts w:cs="Arial"/>
          <w:sz w:val="26"/>
          <w:szCs w:val="26"/>
          <w:lang w:val="es-MX"/>
        </w:rPr>
        <w:t xml:space="preserve"> como las Salas de la Suprema Corte</w:t>
      </w:r>
      <w:r w:rsidR="00052FC4" w:rsidRPr="00A664F3">
        <w:rPr>
          <w:rFonts w:cs="Arial"/>
          <w:sz w:val="26"/>
          <w:szCs w:val="26"/>
          <w:lang w:val="es-MX"/>
        </w:rPr>
        <w:t xml:space="preserve"> ha</w:t>
      </w:r>
      <w:r w:rsidR="003A28A9" w:rsidRPr="00A664F3">
        <w:rPr>
          <w:rFonts w:cs="Arial"/>
          <w:sz w:val="26"/>
          <w:szCs w:val="26"/>
          <w:lang w:val="es-MX"/>
        </w:rPr>
        <w:t>n</w:t>
      </w:r>
      <w:r w:rsidR="00016AF5" w:rsidRPr="00A664F3">
        <w:rPr>
          <w:rFonts w:cs="Arial"/>
          <w:sz w:val="26"/>
          <w:szCs w:val="26"/>
          <w:lang w:val="es-MX"/>
        </w:rPr>
        <w:t xml:space="preserve"> hecho suya</w:t>
      </w:r>
      <w:r w:rsidR="003E6D6D" w:rsidRPr="00A664F3">
        <w:rPr>
          <w:rFonts w:cs="Arial"/>
          <w:sz w:val="26"/>
          <w:szCs w:val="26"/>
          <w:lang w:val="es-MX"/>
        </w:rPr>
        <w:t xml:space="preserve"> </w:t>
      </w:r>
      <w:r w:rsidR="00016AF5" w:rsidRPr="00A664F3">
        <w:rPr>
          <w:rFonts w:cs="Arial"/>
          <w:sz w:val="26"/>
          <w:szCs w:val="26"/>
          <w:lang w:val="es-MX"/>
        </w:rPr>
        <w:t>la</w:t>
      </w:r>
      <w:r w:rsidR="003E6D6D" w:rsidRPr="00A664F3">
        <w:rPr>
          <w:rFonts w:cs="Arial"/>
          <w:sz w:val="26"/>
          <w:szCs w:val="26"/>
          <w:lang w:val="es-MX"/>
        </w:rPr>
        <w:t xml:space="preserve"> </w:t>
      </w:r>
      <w:r w:rsidR="00016AF5" w:rsidRPr="00A664F3">
        <w:rPr>
          <w:rFonts w:cs="Arial"/>
          <w:sz w:val="26"/>
          <w:szCs w:val="26"/>
          <w:lang w:val="es-MX"/>
        </w:rPr>
        <w:t xml:space="preserve">interpretación del artículo 4.3 de la Convención realizada por </w:t>
      </w:r>
      <w:r w:rsidR="003E6D6D" w:rsidRPr="00A664F3">
        <w:rPr>
          <w:rFonts w:cs="Arial"/>
          <w:sz w:val="26"/>
          <w:szCs w:val="26"/>
          <w:lang w:val="es-MX"/>
        </w:rPr>
        <w:t>el Comité</w:t>
      </w:r>
      <w:r w:rsidR="009475E2" w:rsidRPr="00A664F3">
        <w:rPr>
          <w:rFonts w:cs="Arial"/>
          <w:sz w:val="26"/>
          <w:szCs w:val="26"/>
          <w:lang w:val="es-MX"/>
        </w:rPr>
        <w:t xml:space="preserve"> </w:t>
      </w:r>
      <w:r w:rsidR="00305B11" w:rsidRPr="00A664F3">
        <w:rPr>
          <w:rFonts w:cs="Arial"/>
          <w:sz w:val="26"/>
          <w:szCs w:val="26"/>
          <w:lang w:val="es-MX"/>
        </w:rPr>
        <w:t xml:space="preserve">sobre los Derechos de las </w:t>
      </w:r>
      <w:r w:rsidR="00305B11" w:rsidRPr="00A664F3">
        <w:rPr>
          <w:rFonts w:cs="Arial"/>
          <w:sz w:val="26"/>
          <w:szCs w:val="26"/>
          <w:lang w:val="es-MX"/>
        </w:rPr>
        <w:lastRenderedPageBreak/>
        <w:t>Personas con Discapacidad</w:t>
      </w:r>
      <w:r w:rsidR="007834AE" w:rsidRPr="00A664F3">
        <w:rPr>
          <w:rFonts w:cs="Arial"/>
          <w:sz w:val="26"/>
          <w:szCs w:val="26"/>
          <w:lang w:val="es-MX"/>
        </w:rPr>
        <w:t xml:space="preserve"> (en lo sucesivo</w:t>
      </w:r>
      <w:r w:rsidR="00083486" w:rsidRPr="00A664F3">
        <w:rPr>
          <w:rFonts w:cs="Arial"/>
          <w:sz w:val="26"/>
          <w:szCs w:val="26"/>
          <w:lang w:val="es-MX"/>
        </w:rPr>
        <w:t>,</w:t>
      </w:r>
      <w:r w:rsidR="007834AE" w:rsidRPr="00A664F3">
        <w:rPr>
          <w:rFonts w:cs="Arial"/>
          <w:sz w:val="26"/>
          <w:szCs w:val="26"/>
          <w:lang w:val="es-MX"/>
        </w:rPr>
        <w:t xml:space="preserve"> “el Comité”)</w:t>
      </w:r>
      <w:r w:rsidR="003A28A9" w:rsidRPr="00A664F3">
        <w:rPr>
          <w:rFonts w:cs="Arial"/>
          <w:sz w:val="26"/>
          <w:szCs w:val="26"/>
          <w:lang w:val="es-MX"/>
        </w:rPr>
        <w:t xml:space="preserve">. </w:t>
      </w:r>
      <w:r w:rsidR="00BB2B83" w:rsidRPr="00A664F3">
        <w:rPr>
          <w:rFonts w:cs="Arial"/>
          <w:sz w:val="26"/>
          <w:szCs w:val="26"/>
          <w:lang w:val="es-MX"/>
        </w:rPr>
        <w:t>En términos de lo dispuesto en los artículos 34 y 35 de la Convención</w:t>
      </w:r>
      <w:r w:rsidR="00BB2B83" w:rsidRPr="00A664F3">
        <w:rPr>
          <w:rStyle w:val="Refdenotaalpie"/>
          <w:rFonts w:cs="Arial"/>
          <w:sz w:val="26"/>
          <w:szCs w:val="26"/>
          <w:lang w:val="es-MX"/>
        </w:rPr>
        <w:footnoteReference w:id="79"/>
      </w:r>
      <w:r w:rsidR="00BB2B83" w:rsidRPr="00A664F3">
        <w:rPr>
          <w:rFonts w:cs="Arial"/>
          <w:sz w:val="26"/>
          <w:szCs w:val="26"/>
          <w:lang w:val="es-MX"/>
        </w:rPr>
        <w:t>, el Comité</w:t>
      </w:r>
      <w:r w:rsidR="00016AF5" w:rsidRPr="00A664F3">
        <w:rPr>
          <w:rFonts w:cs="Arial"/>
          <w:sz w:val="26"/>
          <w:szCs w:val="26"/>
          <w:lang w:val="es-MX"/>
        </w:rPr>
        <w:t xml:space="preserve"> </w:t>
      </w:r>
      <w:r w:rsidR="007834AE" w:rsidRPr="00A664F3">
        <w:rPr>
          <w:rFonts w:cs="Arial"/>
          <w:sz w:val="26"/>
          <w:szCs w:val="26"/>
          <w:lang w:val="es-MX"/>
        </w:rPr>
        <w:t>es</w:t>
      </w:r>
      <w:r w:rsidR="00BB2B83" w:rsidRPr="00A664F3">
        <w:rPr>
          <w:rFonts w:cs="Arial"/>
          <w:sz w:val="26"/>
          <w:szCs w:val="26"/>
          <w:lang w:val="es-MX"/>
        </w:rPr>
        <w:t xml:space="preserve"> </w:t>
      </w:r>
      <w:r w:rsidR="007834AE" w:rsidRPr="00A664F3">
        <w:rPr>
          <w:rFonts w:cs="Arial"/>
          <w:sz w:val="26"/>
          <w:szCs w:val="26"/>
          <w:lang w:val="es-MX"/>
        </w:rPr>
        <w:t>el</w:t>
      </w:r>
      <w:r w:rsidR="00BB2B83" w:rsidRPr="00A664F3">
        <w:rPr>
          <w:rFonts w:cs="Arial"/>
          <w:sz w:val="26"/>
          <w:szCs w:val="26"/>
          <w:lang w:val="es-MX"/>
        </w:rPr>
        <w:t xml:space="preserve"> órgano</w:t>
      </w:r>
      <w:r w:rsidR="003A28A9" w:rsidRPr="00A664F3">
        <w:rPr>
          <w:rFonts w:cs="Arial"/>
          <w:sz w:val="26"/>
          <w:szCs w:val="26"/>
          <w:lang w:val="es-MX"/>
        </w:rPr>
        <w:t xml:space="preserve"> </w:t>
      </w:r>
      <w:r w:rsidR="00016AF5" w:rsidRPr="00A664F3">
        <w:rPr>
          <w:rFonts w:cs="Arial"/>
          <w:sz w:val="26"/>
          <w:szCs w:val="26"/>
          <w:lang w:val="es-MX"/>
        </w:rPr>
        <w:t>encargado de</w:t>
      </w:r>
      <w:r w:rsidR="007834AE" w:rsidRPr="00A664F3">
        <w:rPr>
          <w:rFonts w:cs="Arial"/>
          <w:sz w:val="26"/>
          <w:szCs w:val="26"/>
          <w:lang w:val="es-MX"/>
        </w:rPr>
        <w:t xml:space="preserve"> dar seguimiento a la implementación de </w:t>
      </w:r>
      <w:r w:rsidR="0093645A" w:rsidRPr="00A664F3">
        <w:rPr>
          <w:rFonts w:cs="Arial"/>
          <w:sz w:val="26"/>
          <w:szCs w:val="26"/>
          <w:lang w:val="es-MX"/>
        </w:rPr>
        <w:t>este instrumento</w:t>
      </w:r>
      <w:r w:rsidR="00083486" w:rsidRPr="00A664F3">
        <w:rPr>
          <w:rFonts w:cs="Arial"/>
          <w:sz w:val="26"/>
          <w:szCs w:val="26"/>
          <w:lang w:val="es-MX"/>
        </w:rPr>
        <w:t xml:space="preserve"> internacional</w:t>
      </w:r>
      <w:r w:rsidR="007834AE" w:rsidRPr="00A664F3">
        <w:rPr>
          <w:rFonts w:cs="Arial"/>
          <w:sz w:val="26"/>
          <w:szCs w:val="26"/>
          <w:lang w:val="es-MX"/>
        </w:rPr>
        <w:t xml:space="preserve"> por los Estados Parte</w:t>
      </w:r>
      <w:r w:rsidR="00A555C2" w:rsidRPr="00A664F3">
        <w:rPr>
          <w:rFonts w:cs="Arial"/>
          <w:sz w:val="26"/>
          <w:szCs w:val="26"/>
          <w:lang w:val="es-MX"/>
        </w:rPr>
        <w:t>.</w:t>
      </w:r>
      <w:r w:rsidR="0093645A" w:rsidRPr="00A664F3">
        <w:rPr>
          <w:rFonts w:cs="Arial"/>
          <w:sz w:val="26"/>
          <w:szCs w:val="26"/>
          <w:lang w:val="es-MX"/>
        </w:rPr>
        <w:t xml:space="preserve"> </w:t>
      </w:r>
      <w:r w:rsidR="008A4ADF" w:rsidRPr="00A664F3">
        <w:rPr>
          <w:rFonts w:cs="Arial"/>
          <w:sz w:val="26"/>
          <w:szCs w:val="26"/>
          <w:lang w:val="es-MX"/>
        </w:rPr>
        <w:t>Como dentro</w:t>
      </w:r>
      <w:r w:rsidR="00A555C2" w:rsidRPr="00A664F3">
        <w:rPr>
          <w:rFonts w:cs="Arial"/>
          <w:sz w:val="26"/>
          <w:szCs w:val="26"/>
          <w:lang w:val="es-MX"/>
        </w:rPr>
        <w:t xml:space="preserve"> de su</w:t>
      </w:r>
      <w:r w:rsidR="00E8733A" w:rsidRPr="00A664F3">
        <w:rPr>
          <w:rFonts w:cs="Arial"/>
          <w:sz w:val="26"/>
          <w:szCs w:val="26"/>
          <w:lang w:val="es-MX"/>
        </w:rPr>
        <w:t>s</w:t>
      </w:r>
      <w:r w:rsidR="00A555C2" w:rsidRPr="00A664F3">
        <w:rPr>
          <w:rFonts w:cs="Arial"/>
          <w:sz w:val="26"/>
          <w:szCs w:val="26"/>
          <w:lang w:val="es-MX"/>
        </w:rPr>
        <w:t xml:space="preserve"> </w:t>
      </w:r>
      <w:r w:rsidR="00E8733A" w:rsidRPr="00A664F3">
        <w:rPr>
          <w:rFonts w:cs="Arial"/>
          <w:sz w:val="26"/>
          <w:szCs w:val="26"/>
          <w:lang w:val="es-MX"/>
        </w:rPr>
        <w:t>funciones</w:t>
      </w:r>
      <w:r w:rsidR="00A555C2" w:rsidRPr="00A664F3">
        <w:rPr>
          <w:rFonts w:cs="Arial"/>
          <w:sz w:val="26"/>
          <w:szCs w:val="26"/>
          <w:lang w:val="es-MX"/>
        </w:rPr>
        <w:t xml:space="preserve"> </w:t>
      </w:r>
      <w:r w:rsidR="008A4ADF" w:rsidRPr="00A664F3">
        <w:rPr>
          <w:rFonts w:cs="Arial"/>
          <w:sz w:val="26"/>
          <w:szCs w:val="26"/>
          <w:lang w:val="es-MX"/>
        </w:rPr>
        <w:t>se encuentra</w:t>
      </w:r>
      <w:r w:rsidR="00A555C2" w:rsidRPr="00A664F3">
        <w:rPr>
          <w:rFonts w:cs="Arial"/>
          <w:sz w:val="26"/>
          <w:szCs w:val="26"/>
          <w:lang w:val="es-MX"/>
        </w:rPr>
        <w:t xml:space="preserve"> interpretar los alcances de las obligaciones previstas</w:t>
      </w:r>
      <w:r w:rsidR="008B5E23" w:rsidRPr="00A664F3">
        <w:rPr>
          <w:rFonts w:cs="Arial"/>
          <w:sz w:val="26"/>
          <w:szCs w:val="26"/>
          <w:lang w:val="es-MX"/>
        </w:rPr>
        <w:t xml:space="preserve"> en el tratado</w:t>
      </w:r>
      <w:r w:rsidR="00A555C2" w:rsidRPr="00A664F3">
        <w:rPr>
          <w:rFonts w:cs="Arial"/>
          <w:sz w:val="26"/>
          <w:szCs w:val="26"/>
          <w:lang w:val="es-MX"/>
        </w:rPr>
        <w:t xml:space="preserve"> a fin de facilitar su cumplimiento</w:t>
      </w:r>
      <w:r w:rsidR="00775B59" w:rsidRPr="00A664F3">
        <w:rPr>
          <w:rFonts w:cs="Arial"/>
          <w:sz w:val="26"/>
          <w:szCs w:val="26"/>
          <w:lang w:val="es-MX"/>
        </w:rPr>
        <w:t xml:space="preserve"> por los </w:t>
      </w:r>
      <w:r w:rsidR="00C4482D" w:rsidRPr="00A664F3">
        <w:rPr>
          <w:rFonts w:cs="Arial"/>
          <w:sz w:val="26"/>
          <w:szCs w:val="26"/>
          <w:lang w:val="es-MX"/>
        </w:rPr>
        <w:t>Estados que lo suscriban</w:t>
      </w:r>
      <w:r w:rsidR="008A4ADF" w:rsidRPr="00A664F3">
        <w:rPr>
          <w:rFonts w:cs="Arial"/>
          <w:sz w:val="26"/>
          <w:szCs w:val="26"/>
          <w:lang w:val="es-MX"/>
        </w:rPr>
        <w:t xml:space="preserve">, </w:t>
      </w:r>
      <w:r w:rsidR="004B4807" w:rsidRPr="00A664F3">
        <w:rPr>
          <w:rFonts w:cs="Arial"/>
          <w:sz w:val="26"/>
          <w:szCs w:val="26"/>
          <w:lang w:val="es-MX"/>
        </w:rPr>
        <w:t>dicho</w:t>
      </w:r>
      <w:r w:rsidR="008A4ADF" w:rsidRPr="00A664F3">
        <w:rPr>
          <w:rFonts w:cs="Arial"/>
          <w:sz w:val="26"/>
          <w:szCs w:val="26"/>
          <w:lang w:val="es-MX"/>
        </w:rPr>
        <w:t xml:space="preserve"> </w:t>
      </w:r>
      <w:r w:rsidR="004B4807" w:rsidRPr="00A664F3">
        <w:rPr>
          <w:rFonts w:cs="Arial"/>
          <w:sz w:val="26"/>
          <w:szCs w:val="26"/>
          <w:lang w:val="es-MX"/>
        </w:rPr>
        <w:t>órgano internacional</w:t>
      </w:r>
      <w:r w:rsidR="001B7D38" w:rsidRPr="00A664F3">
        <w:rPr>
          <w:rFonts w:cs="Arial"/>
          <w:sz w:val="26"/>
          <w:szCs w:val="26"/>
          <w:lang w:val="es-MX"/>
        </w:rPr>
        <w:t xml:space="preserve"> </w:t>
      </w:r>
      <w:r w:rsidR="003A28A9" w:rsidRPr="00A664F3">
        <w:rPr>
          <w:rFonts w:cs="Arial"/>
          <w:sz w:val="26"/>
          <w:szCs w:val="26"/>
          <w:lang w:val="es-MX"/>
        </w:rPr>
        <w:t xml:space="preserve">se ocupó </w:t>
      </w:r>
      <w:r w:rsidR="008A4ADF" w:rsidRPr="00A664F3">
        <w:rPr>
          <w:rFonts w:cs="Arial"/>
          <w:sz w:val="26"/>
          <w:szCs w:val="26"/>
          <w:lang w:val="es-MX"/>
        </w:rPr>
        <w:t xml:space="preserve">puntualmente </w:t>
      </w:r>
      <w:r w:rsidR="003A28A9" w:rsidRPr="00A664F3">
        <w:rPr>
          <w:rFonts w:cs="Arial"/>
          <w:sz w:val="26"/>
          <w:szCs w:val="26"/>
          <w:lang w:val="es-MX"/>
        </w:rPr>
        <w:t>del</w:t>
      </w:r>
      <w:r w:rsidR="00BB2B83" w:rsidRPr="00A664F3">
        <w:rPr>
          <w:rFonts w:cs="Arial"/>
          <w:sz w:val="26"/>
          <w:szCs w:val="26"/>
          <w:lang w:val="es-MX"/>
        </w:rPr>
        <w:t xml:space="preserve"> significado del</w:t>
      </w:r>
      <w:r w:rsidR="003A28A9" w:rsidRPr="00A664F3">
        <w:rPr>
          <w:rFonts w:cs="Arial"/>
          <w:sz w:val="26"/>
          <w:szCs w:val="26"/>
          <w:lang w:val="es-MX"/>
        </w:rPr>
        <w:t xml:space="preserve"> artículo 4.3</w:t>
      </w:r>
      <w:r w:rsidR="00C470FF" w:rsidRPr="00A664F3">
        <w:rPr>
          <w:rFonts w:cs="Arial"/>
          <w:sz w:val="26"/>
          <w:szCs w:val="26"/>
          <w:lang w:val="es-MX"/>
        </w:rPr>
        <w:t xml:space="preserve"> de la Convención</w:t>
      </w:r>
      <w:r w:rsidR="006A5D56" w:rsidRPr="00A664F3">
        <w:rPr>
          <w:rFonts w:cs="Arial"/>
          <w:sz w:val="26"/>
          <w:szCs w:val="26"/>
          <w:lang w:val="es-MX"/>
        </w:rPr>
        <w:t xml:space="preserve"> </w:t>
      </w:r>
      <w:r w:rsidR="00B50A55" w:rsidRPr="00A664F3">
        <w:rPr>
          <w:rFonts w:cs="Arial"/>
          <w:sz w:val="26"/>
          <w:szCs w:val="26"/>
          <w:lang w:val="es-MX"/>
        </w:rPr>
        <w:t>al aprobar</w:t>
      </w:r>
      <w:r w:rsidR="009475E2" w:rsidRPr="00A664F3">
        <w:rPr>
          <w:rFonts w:cs="Arial"/>
          <w:sz w:val="26"/>
          <w:szCs w:val="26"/>
          <w:lang w:val="es-MX"/>
        </w:rPr>
        <w:t xml:space="preserve"> la Observación General Número 7</w:t>
      </w:r>
      <w:r w:rsidR="007F1F66" w:rsidRPr="00A664F3">
        <w:rPr>
          <w:rFonts w:cs="Arial"/>
          <w:sz w:val="26"/>
          <w:szCs w:val="26"/>
          <w:lang w:val="es-MX"/>
        </w:rPr>
        <w:t xml:space="preserve"> en septiembre de dos mil dieciocho</w:t>
      </w:r>
      <w:r w:rsidR="00581CF9" w:rsidRPr="00A664F3">
        <w:rPr>
          <w:rStyle w:val="Refdenotaalpie"/>
          <w:rFonts w:cs="Arial"/>
          <w:sz w:val="26"/>
          <w:szCs w:val="26"/>
          <w:lang w:val="es-MX"/>
        </w:rPr>
        <w:footnoteReference w:id="80"/>
      </w:r>
      <w:r w:rsidR="0093645A" w:rsidRPr="00A664F3">
        <w:rPr>
          <w:rFonts w:cs="Arial"/>
          <w:sz w:val="26"/>
          <w:szCs w:val="26"/>
          <w:lang w:val="es-MX"/>
        </w:rPr>
        <w:t>.</w:t>
      </w:r>
      <w:r w:rsidR="007834AE" w:rsidRPr="00A664F3">
        <w:rPr>
          <w:rFonts w:cs="Arial"/>
          <w:sz w:val="26"/>
          <w:szCs w:val="26"/>
          <w:lang w:val="es-MX"/>
        </w:rPr>
        <w:t xml:space="preserve"> </w:t>
      </w:r>
    </w:p>
    <w:p w:rsidR="00016AF5" w:rsidRPr="00A664F3" w:rsidRDefault="0042747B" w:rsidP="007834AE">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Específicamente</w:t>
      </w:r>
      <w:r w:rsidR="002A40E7" w:rsidRPr="00A664F3">
        <w:rPr>
          <w:rFonts w:cs="Arial"/>
          <w:sz w:val="26"/>
          <w:szCs w:val="26"/>
          <w:lang w:val="es-MX"/>
        </w:rPr>
        <w:t xml:space="preserve"> relación con </w:t>
      </w:r>
      <w:r w:rsidR="00102B82" w:rsidRPr="00A664F3">
        <w:rPr>
          <w:rFonts w:cs="Arial"/>
          <w:sz w:val="26"/>
          <w:szCs w:val="26"/>
          <w:lang w:val="es-MX"/>
        </w:rPr>
        <w:t xml:space="preserve">la </w:t>
      </w:r>
      <w:r w:rsidR="00D03233" w:rsidRPr="00A664F3">
        <w:rPr>
          <w:rFonts w:cs="Arial"/>
          <w:sz w:val="26"/>
          <w:szCs w:val="26"/>
          <w:lang w:val="es-MX"/>
        </w:rPr>
        <w:t>porción normativa</w:t>
      </w:r>
      <w:r w:rsidR="00102B82" w:rsidRPr="00A664F3">
        <w:rPr>
          <w:rFonts w:cs="Arial"/>
          <w:sz w:val="26"/>
          <w:szCs w:val="26"/>
          <w:lang w:val="es-MX"/>
        </w:rPr>
        <w:t xml:space="preserve"> “</w:t>
      </w:r>
      <w:r w:rsidR="00102B82" w:rsidRPr="00A664F3">
        <w:rPr>
          <w:rFonts w:cs="Arial"/>
          <w:i/>
          <w:sz w:val="26"/>
          <w:szCs w:val="26"/>
          <w:lang w:val="es-MX"/>
        </w:rPr>
        <w:t>cuestiones relacionadas con las personas con discapacidad</w:t>
      </w:r>
      <w:r w:rsidR="00102B82" w:rsidRPr="00A664F3">
        <w:rPr>
          <w:rFonts w:cs="Arial"/>
          <w:sz w:val="26"/>
          <w:szCs w:val="26"/>
          <w:lang w:val="es-MX"/>
        </w:rPr>
        <w:t>”</w:t>
      </w:r>
      <w:r w:rsidR="002A40E7" w:rsidRPr="00A664F3">
        <w:rPr>
          <w:rFonts w:cs="Arial"/>
          <w:sz w:val="26"/>
          <w:szCs w:val="26"/>
          <w:lang w:val="es-MX"/>
        </w:rPr>
        <w:t>, el Comité s</w:t>
      </w:r>
      <w:r w:rsidR="007834AE" w:rsidRPr="00A664F3">
        <w:rPr>
          <w:rFonts w:cs="Arial"/>
          <w:sz w:val="26"/>
          <w:szCs w:val="26"/>
          <w:lang w:val="es-MX"/>
        </w:rPr>
        <w:t>ostuvo que</w:t>
      </w:r>
      <w:r w:rsidR="00D03233" w:rsidRPr="00A664F3">
        <w:rPr>
          <w:rFonts w:cs="Arial"/>
          <w:sz w:val="26"/>
          <w:szCs w:val="26"/>
          <w:lang w:val="es-MX"/>
        </w:rPr>
        <w:t xml:space="preserve"> </w:t>
      </w:r>
      <w:r w:rsidR="001742F4" w:rsidRPr="00A664F3">
        <w:rPr>
          <w:rFonts w:cs="Arial"/>
          <w:sz w:val="26"/>
          <w:szCs w:val="26"/>
          <w:lang w:val="es-MX"/>
        </w:rPr>
        <w:t>est</w:t>
      </w:r>
      <w:r w:rsidR="00D03233" w:rsidRPr="00A664F3">
        <w:rPr>
          <w:rFonts w:cs="Arial"/>
          <w:sz w:val="26"/>
          <w:szCs w:val="26"/>
          <w:lang w:val="es-MX"/>
        </w:rPr>
        <w:t>a expresión</w:t>
      </w:r>
      <w:r w:rsidR="00603A9F" w:rsidRPr="00A664F3">
        <w:rPr>
          <w:rFonts w:cs="Arial"/>
          <w:sz w:val="26"/>
          <w:szCs w:val="26"/>
          <w:lang w:val="es-MX"/>
        </w:rPr>
        <w:t xml:space="preserve"> “</w:t>
      </w:r>
      <w:r w:rsidR="00603A9F" w:rsidRPr="00A664F3">
        <w:rPr>
          <w:rFonts w:cs="Arial"/>
          <w:i/>
          <w:sz w:val="26"/>
          <w:szCs w:val="26"/>
          <w:u w:val="single"/>
          <w:lang w:val="es-MX"/>
        </w:rPr>
        <w:t>abarca toda la gama de medidas legislativas, administrativas y de otra índole que puedan afectar de forma directa o indirecta a los derechos de las personas con discapacidad</w:t>
      </w:r>
      <w:r w:rsidR="00603A9F" w:rsidRPr="00A664F3">
        <w:rPr>
          <w:rFonts w:cs="Arial"/>
          <w:sz w:val="26"/>
          <w:szCs w:val="26"/>
          <w:lang w:val="es-MX"/>
        </w:rPr>
        <w:t>”</w:t>
      </w:r>
      <w:r w:rsidR="00603A9F" w:rsidRPr="00A664F3">
        <w:rPr>
          <w:rStyle w:val="Refdenotaalpie"/>
          <w:rFonts w:cs="Arial"/>
          <w:sz w:val="26"/>
          <w:szCs w:val="26"/>
          <w:lang w:val="es-MX"/>
        </w:rPr>
        <w:footnoteReference w:id="81"/>
      </w:r>
      <w:r w:rsidR="00603A9F" w:rsidRPr="00A664F3">
        <w:rPr>
          <w:rFonts w:cs="Arial"/>
          <w:sz w:val="26"/>
          <w:szCs w:val="26"/>
          <w:lang w:val="es-MX"/>
        </w:rPr>
        <w:t>.</w:t>
      </w:r>
      <w:r w:rsidRPr="00A664F3">
        <w:rPr>
          <w:rFonts w:cs="Arial"/>
          <w:sz w:val="26"/>
          <w:szCs w:val="26"/>
          <w:lang w:val="es-MX"/>
        </w:rPr>
        <w:t xml:space="preserve"> Al decir del Comité, </w:t>
      </w:r>
      <w:r w:rsidR="009D05E5" w:rsidRPr="00A664F3">
        <w:rPr>
          <w:rFonts w:cs="Arial"/>
          <w:sz w:val="26"/>
          <w:szCs w:val="26"/>
          <w:lang w:val="es-MX"/>
        </w:rPr>
        <w:t>la desinstitucionalización, los seguros sociales y las pensiones de invalidez, la asistencia personal, los requerimientos en materia de accesibilidad y las políticas de ajustes razonables</w:t>
      </w:r>
      <w:r w:rsidR="005C4F0F" w:rsidRPr="00A664F3">
        <w:rPr>
          <w:rFonts w:cs="Arial"/>
          <w:sz w:val="26"/>
          <w:szCs w:val="26"/>
          <w:lang w:val="es-MX"/>
        </w:rPr>
        <w:t>,</w:t>
      </w:r>
      <w:r w:rsidR="009D05E5" w:rsidRPr="00A664F3">
        <w:rPr>
          <w:rFonts w:cs="Arial"/>
          <w:sz w:val="26"/>
          <w:szCs w:val="26"/>
          <w:lang w:val="es-MX"/>
        </w:rPr>
        <w:t xml:space="preserve"> serían </w:t>
      </w:r>
      <w:r w:rsidRPr="00A664F3">
        <w:rPr>
          <w:rFonts w:cs="Arial"/>
          <w:sz w:val="26"/>
          <w:szCs w:val="26"/>
          <w:lang w:val="es-MX"/>
        </w:rPr>
        <w:t xml:space="preserve">todos </w:t>
      </w:r>
      <w:r w:rsidR="009D05E5" w:rsidRPr="00A664F3">
        <w:rPr>
          <w:rFonts w:cs="Arial"/>
          <w:sz w:val="26"/>
          <w:szCs w:val="26"/>
          <w:lang w:val="es-MX"/>
        </w:rPr>
        <w:t xml:space="preserve">ejemplos de cuestiones que afectan </w:t>
      </w:r>
      <w:r w:rsidR="009D05E5" w:rsidRPr="00A664F3">
        <w:rPr>
          <w:rFonts w:cs="Arial"/>
          <w:i/>
          <w:sz w:val="26"/>
          <w:szCs w:val="26"/>
          <w:lang w:val="es-MX"/>
        </w:rPr>
        <w:t>directamente</w:t>
      </w:r>
      <w:r w:rsidR="009D05E5" w:rsidRPr="00A664F3">
        <w:rPr>
          <w:rFonts w:cs="Arial"/>
          <w:sz w:val="26"/>
          <w:szCs w:val="26"/>
          <w:lang w:val="es-MX"/>
        </w:rPr>
        <w:t xml:space="preserve"> </w:t>
      </w:r>
      <w:r w:rsidRPr="00A664F3">
        <w:rPr>
          <w:rFonts w:cs="Arial"/>
          <w:sz w:val="26"/>
          <w:szCs w:val="26"/>
          <w:lang w:val="es-MX"/>
        </w:rPr>
        <w:t>a las personas con discapacidad</w:t>
      </w:r>
      <w:r w:rsidR="007B3889" w:rsidRPr="00A664F3">
        <w:rPr>
          <w:rFonts w:cs="Arial"/>
          <w:sz w:val="26"/>
          <w:szCs w:val="26"/>
          <w:lang w:val="es-MX"/>
        </w:rPr>
        <w:t xml:space="preserve">. </w:t>
      </w:r>
      <w:r w:rsidR="0000783B" w:rsidRPr="00A664F3">
        <w:rPr>
          <w:rFonts w:cs="Arial"/>
          <w:sz w:val="26"/>
          <w:szCs w:val="26"/>
          <w:lang w:val="es-MX"/>
        </w:rPr>
        <w:t>En cambio, l</w:t>
      </w:r>
      <w:r w:rsidR="009D05E5" w:rsidRPr="00A664F3">
        <w:rPr>
          <w:rFonts w:cs="Arial"/>
          <w:sz w:val="26"/>
          <w:szCs w:val="26"/>
          <w:lang w:val="es-MX"/>
        </w:rPr>
        <w:t xml:space="preserve">as </w:t>
      </w:r>
      <w:r w:rsidR="00AE2A76" w:rsidRPr="00A664F3">
        <w:rPr>
          <w:rFonts w:cs="Arial"/>
          <w:sz w:val="26"/>
          <w:szCs w:val="26"/>
          <w:lang w:val="es-MX"/>
        </w:rPr>
        <w:t>cuestiones</w:t>
      </w:r>
      <w:r w:rsidR="009D05E5" w:rsidRPr="00A664F3">
        <w:rPr>
          <w:rFonts w:cs="Arial"/>
          <w:sz w:val="26"/>
          <w:szCs w:val="26"/>
          <w:lang w:val="es-MX"/>
        </w:rPr>
        <w:t xml:space="preserve"> </w:t>
      </w:r>
      <w:r w:rsidR="00AE2A76" w:rsidRPr="00A664F3">
        <w:rPr>
          <w:rFonts w:cs="Arial"/>
          <w:sz w:val="26"/>
          <w:szCs w:val="26"/>
          <w:lang w:val="es-MX"/>
        </w:rPr>
        <w:t>que</w:t>
      </w:r>
      <w:r w:rsidR="009D05E5" w:rsidRPr="00A664F3">
        <w:rPr>
          <w:rFonts w:cs="Arial"/>
          <w:sz w:val="26"/>
          <w:szCs w:val="26"/>
          <w:lang w:val="es-MX"/>
        </w:rPr>
        <w:t xml:space="preserve"> afectan </w:t>
      </w:r>
      <w:r w:rsidR="009D05E5" w:rsidRPr="00A664F3">
        <w:rPr>
          <w:rFonts w:cs="Arial"/>
          <w:i/>
          <w:sz w:val="26"/>
          <w:szCs w:val="26"/>
          <w:lang w:val="es-MX"/>
        </w:rPr>
        <w:t>indirecta</w:t>
      </w:r>
      <w:r w:rsidR="00AE2A76" w:rsidRPr="00A664F3">
        <w:rPr>
          <w:rFonts w:cs="Arial"/>
          <w:i/>
          <w:sz w:val="26"/>
          <w:szCs w:val="26"/>
          <w:lang w:val="es-MX"/>
        </w:rPr>
        <w:t>mente</w:t>
      </w:r>
      <w:r w:rsidR="006D5613" w:rsidRPr="00A664F3">
        <w:rPr>
          <w:rFonts w:cs="Arial"/>
          <w:sz w:val="26"/>
          <w:szCs w:val="26"/>
          <w:lang w:val="es-MX"/>
        </w:rPr>
        <w:t xml:space="preserve"> </w:t>
      </w:r>
      <w:r w:rsidR="00C470FF" w:rsidRPr="00A664F3">
        <w:rPr>
          <w:rFonts w:cs="Arial"/>
          <w:sz w:val="26"/>
          <w:szCs w:val="26"/>
          <w:lang w:val="es-MX"/>
        </w:rPr>
        <w:t xml:space="preserve">a estos grupos </w:t>
      </w:r>
      <w:r w:rsidR="006D5613" w:rsidRPr="00A664F3">
        <w:rPr>
          <w:rFonts w:cs="Arial"/>
          <w:sz w:val="26"/>
          <w:szCs w:val="26"/>
          <w:lang w:val="es-MX"/>
        </w:rPr>
        <w:t>podrían guardar relación</w:t>
      </w:r>
      <w:r w:rsidR="0000783B" w:rsidRPr="00A664F3">
        <w:rPr>
          <w:rFonts w:cs="Arial"/>
          <w:sz w:val="26"/>
          <w:szCs w:val="26"/>
          <w:lang w:val="es-MX"/>
        </w:rPr>
        <w:t xml:space="preserve"> más bien</w:t>
      </w:r>
      <w:r w:rsidR="006D5613" w:rsidRPr="00A664F3">
        <w:rPr>
          <w:rFonts w:cs="Arial"/>
          <w:sz w:val="26"/>
          <w:szCs w:val="26"/>
          <w:lang w:val="es-MX"/>
        </w:rPr>
        <w:t xml:space="preserve"> con el derecho constitucional, los derechos electorales, el acceso a la justicia, el nombramiento de las autoridades administrativas a cargo de las políticas en </w:t>
      </w:r>
      <w:r w:rsidR="006D5613" w:rsidRPr="00A664F3">
        <w:rPr>
          <w:rFonts w:cs="Arial"/>
          <w:sz w:val="26"/>
          <w:szCs w:val="26"/>
          <w:lang w:val="es-MX"/>
        </w:rPr>
        <w:lastRenderedPageBreak/>
        <w:t>materia de discapacidad o las políticas públicas en los ámbitos de la educación, la salud, el trabajo y el empleo</w:t>
      </w:r>
      <w:r w:rsidR="009D05E5" w:rsidRPr="00A664F3">
        <w:rPr>
          <w:rStyle w:val="Refdenotaalpie"/>
          <w:rFonts w:cs="Arial"/>
          <w:sz w:val="26"/>
          <w:szCs w:val="26"/>
          <w:lang w:val="es-MX"/>
        </w:rPr>
        <w:footnoteReference w:id="82"/>
      </w:r>
      <w:r w:rsidR="009D05E5" w:rsidRPr="00A664F3">
        <w:rPr>
          <w:rFonts w:cs="Arial"/>
          <w:sz w:val="26"/>
          <w:szCs w:val="26"/>
          <w:lang w:val="es-MX"/>
        </w:rPr>
        <w:t>.</w:t>
      </w:r>
    </w:p>
    <w:p w:rsidR="002C5038" w:rsidRPr="00A664F3" w:rsidRDefault="00B1734D" w:rsidP="00614E02">
      <w:pPr>
        <w:pStyle w:val="corte4fondo"/>
        <w:numPr>
          <w:ilvl w:val="0"/>
          <w:numId w:val="1"/>
        </w:numPr>
        <w:tabs>
          <w:tab w:val="clear" w:pos="-3"/>
          <w:tab w:val="left" w:pos="0"/>
        </w:tabs>
        <w:spacing w:after="360" w:line="360" w:lineRule="auto"/>
        <w:ind w:left="0" w:firstLine="0"/>
        <w:rPr>
          <w:b/>
          <w:sz w:val="26"/>
          <w:szCs w:val="26"/>
          <w:lang w:val="es-MX"/>
        </w:rPr>
      </w:pPr>
      <w:r w:rsidRPr="00A664F3">
        <w:rPr>
          <w:rFonts w:cs="Arial"/>
          <w:sz w:val="26"/>
          <w:szCs w:val="26"/>
          <w:lang w:val="es-MX"/>
        </w:rPr>
        <w:t>Por su parte, l</w:t>
      </w:r>
      <w:r w:rsidR="006F7970" w:rsidRPr="00A664F3">
        <w:rPr>
          <w:rFonts w:cs="Arial"/>
          <w:sz w:val="26"/>
          <w:szCs w:val="26"/>
          <w:lang w:val="es-MX"/>
        </w:rPr>
        <w:t>a Suprema Corte</w:t>
      </w:r>
      <w:r w:rsidR="002801CB" w:rsidRPr="00A664F3">
        <w:rPr>
          <w:rFonts w:cs="Arial"/>
          <w:sz w:val="26"/>
          <w:szCs w:val="26"/>
          <w:lang w:val="es-MX"/>
        </w:rPr>
        <w:t xml:space="preserve"> de Justicia de la Nación</w:t>
      </w:r>
      <w:r w:rsidR="003E48FF" w:rsidRPr="00A664F3">
        <w:rPr>
          <w:rFonts w:cs="Arial"/>
          <w:sz w:val="26"/>
          <w:szCs w:val="26"/>
          <w:lang w:val="es-MX"/>
        </w:rPr>
        <w:t xml:space="preserve"> ha</w:t>
      </w:r>
      <w:r w:rsidR="006F7970" w:rsidRPr="00A664F3">
        <w:rPr>
          <w:rFonts w:cs="Arial"/>
          <w:sz w:val="26"/>
          <w:szCs w:val="26"/>
          <w:lang w:val="es-MX"/>
        </w:rPr>
        <w:t xml:space="preserve"> retomado</w:t>
      </w:r>
      <w:r w:rsidR="002C5038" w:rsidRPr="00A664F3">
        <w:rPr>
          <w:rFonts w:cs="Arial"/>
          <w:sz w:val="26"/>
          <w:szCs w:val="26"/>
          <w:lang w:val="es-MX"/>
        </w:rPr>
        <w:t xml:space="preserve"> en buena medida</w:t>
      </w:r>
      <w:r w:rsidR="006F7970" w:rsidRPr="00A664F3">
        <w:rPr>
          <w:rFonts w:cs="Arial"/>
          <w:sz w:val="26"/>
          <w:szCs w:val="26"/>
          <w:lang w:val="es-MX"/>
        </w:rPr>
        <w:t xml:space="preserve"> esta interpretación de</w:t>
      </w:r>
      <w:r w:rsidR="003559B2" w:rsidRPr="00A664F3">
        <w:rPr>
          <w:rFonts w:cs="Arial"/>
          <w:sz w:val="26"/>
          <w:szCs w:val="26"/>
          <w:lang w:val="es-MX"/>
        </w:rPr>
        <w:t>l artículo 4.3 de</w:t>
      </w:r>
      <w:r w:rsidR="006F7970" w:rsidRPr="00A664F3">
        <w:rPr>
          <w:rFonts w:cs="Arial"/>
          <w:sz w:val="26"/>
          <w:szCs w:val="26"/>
          <w:lang w:val="es-MX"/>
        </w:rPr>
        <w:t xml:space="preserve"> la Convención para efectos del ámbito interno</w:t>
      </w:r>
      <w:r w:rsidR="00126642" w:rsidRPr="00A664F3">
        <w:rPr>
          <w:rFonts w:cs="Arial"/>
          <w:sz w:val="26"/>
          <w:szCs w:val="26"/>
          <w:lang w:val="es-MX"/>
        </w:rPr>
        <w:t xml:space="preserve"> mexicano</w:t>
      </w:r>
      <w:r w:rsidR="006F7970" w:rsidRPr="00A664F3">
        <w:rPr>
          <w:rFonts w:cs="Arial"/>
          <w:sz w:val="26"/>
          <w:szCs w:val="26"/>
          <w:lang w:val="es-MX"/>
        </w:rPr>
        <w:t xml:space="preserve"> y</w:t>
      </w:r>
      <w:r w:rsidR="007346C2" w:rsidRPr="00A664F3">
        <w:rPr>
          <w:rFonts w:cs="Arial"/>
          <w:sz w:val="26"/>
          <w:szCs w:val="26"/>
          <w:lang w:val="es-MX"/>
        </w:rPr>
        <w:t xml:space="preserve">, al menos desde que </w:t>
      </w:r>
      <w:r w:rsidR="00847323" w:rsidRPr="00A664F3">
        <w:rPr>
          <w:rFonts w:cs="Arial"/>
          <w:sz w:val="26"/>
          <w:szCs w:val="26"/>
          <w:lang w:val="es-MX"/>
        </w:rPr>
        <w:t>el Comité</w:t>
      </w:r>
      <w:r w:rsidR="007346C2" w:rsidRPr="00A664F3">
        <w:rPr>
          <w:rFonts w:cs="Arial"/>
          <w:sz w:val="26"/>
          <w:szCs w:val="26"/>
          <w:lang w:val="es-MX"/>
        </w:rPr>
        <w:t xml:space="preserve"> aprobó la Observación General Número 7,</w:t>
      </w:r>
      <w:r w:rsidR="00847323" w:rsidRPr="00A664F3">
        <w:rPr>
          <w:rFonts w:cs="Arial"/>
          <w:sz w:val="26"/>
          <w:szCs w:val="26"/>
          <w:lang w:val="es-MX"/>
        </w:rPr>
        <w:t xml:space="preserve"> el Tribunal Pleno</w:t>
      </w:r>
      <w:r w:rsidR="00052FC4" w:rsidRPr="00A664F3">
        <w:rPr>
          <w:rFonts w:cs="Arial"/>
          <w:sz w:val="26"/>
          <w:szCs w:val="26"/>
          <w:lang w:val="es-MX"/>
        </w:rPr>
        <w:t xml:space="preserve"> </w:t>
      </w:r>
      <w:r w:rsidR="006F7970" w:rsidRPr="00A664F3">
        <w:rPr>
          <w:rFonts w:cs="Arial"/>
          <w:sz w:val="26"/>
          <w:szCs w:val="26"/>
          <w:lang w:val="es-MX"/>
        </w:rPr>
        <w:t xml:space="preserve">ha </w:t>
      </w:r>
      <w:r w:rsidR="00052FC4" w:rsidRPr="00A664F3">
        <w:rPr>
          <w:rFonts w:cs="Arial"/>
          <w:sz w:val="26"/>
          <w:szCs w:val="26"/>
          <w:lang w:val="es-MX"/>
        </w:rPr>
        <w:t>sostenido</w:t>
      </w:r>
      <w:r w:rsidR="006F7970" w:rsidRPr="00A664F3">
        <w:rPr>
          <w:rFonts w:cs="Arial"/>
          <w:sz w:val="26"/>
          <w:szCs w:val="26"/>
          <w:lang w:val="es-MX"/>
        </w:rPr>
        <w:t xml:space="preserve"> de</w:t>
      </w:r>
      <w:r w:rsidR="00052FC4" w:rsidRPr="00A664F3">
        <w:rPr>
          <w:rFonts w:cs="Arial"/>
          <w:sz w:val="26"/>
          <w:szCs w:val="26"/>
          <w:lang w:val="es-MX"/>
        </w:rPr>
        <w:t xml:space="preserve"> </w:t>
      </w:r>
      <w:r w:rsidR="006F7970" w:rsidRPr="00A664F3">
        <w:rPr>
          <w:rFonts w:cs="Arial"/>
          <w:sz w:val="26"/>
          <w:szCs w:val="26"/>
          <w:lang w:val="es-MX"/>
        </w:rPr>
        <w:t xml:space="preserve">manera </w:t>
      </w:r>
      <w:r w:rsidR="00052FC4" w:rsidRPr="00A664F3">
        <w:rPr>
          <w:rFonts w:cs="Arial"/>
          <w:sz w:val="26"/>
          <w:szCs w:val="26"/>
          <w:lang w:val="es-MX"/>
        </w:rPr>
        <w:t xml:space="preserve">reiterada que </w:t>
      </w:r>
      <w:r w:rsidR="006F7970" w:rsidRPr="00A664F3">
        <w:rPr>
          <w:rFonts w:cs="Arial"/>
          <w:sz w:val="26"/>
          <w:szCs w:val="26"/>
          <w:lang w:val="es-MX"/>
        </w:rPr>
        <w:t>l</w:t>
      </w:r>
      <w:r w:rsidR="00052FC4" w:rsidRPr="00A664F3">
        <w:rPr>
          <w:rFonts w:cs="Arial"/>
          <w:sz w:val="26"/>
          <w:szCs w:val="26"/>
          <w:lang w:val="es-MX"/>
        </w:rPr>
        <w:t xml:space="preserve">a obligación </w:t>
      </w:r>
      <w:r w:rsidR="006F7970" w:rsidRPr="00A664F3">
        <w:rPr>
          <w:rFonts w:cs="Arial"/>
          <w:sz w:val="26"/>
          <w:szCs w:val="26"/>
          <w:lang w:val="es-MX"/>
        </w:rPr>
        <w:t>de</w:t>
      </w:r>
      <w:r w:rsidR="002C5038" w:rsidRPr="00A664F3">
        <w:rPr>
          <w:rFonts w:cs="Arial"/>
          <w:sz w:val="26"/>
          <w:szCs w:val="26"/>
          <w:lang w:val="es-MX"/>
        </w:rPr>
        <w:t xml:space="preserve"> las autoridades </w:t>
      </w:r>
      <w:r w:rsidR="00126642" w:rsidRPr="00A664F3">
        <w:rPr>
          <w:rFonts w:cs="Arial"/>
          <w:sz w:val="26"/>
          <w:szCs w:val="26"/>
          <w:lang w:val="es-MX"/>
        </w:rPr>
        <w:t>del país</w:t>
      </w:r>
      <w:r w:rsidR="002C5038" w:rsidRPr="00A664F3">
        <w:rPr>
          <w:rFonts w:cs="Arial"/>
          <w:sz w:val="26"/>
          <w:szCs w:val="26"/>
          <w:lang w:val="es-MX"/>
        </w:rPr>
        <w:t xml:space="preserve"> de</w:t>
      </w:r>
      <w:r w:rsidR="006F7970" w:rsidRPr="00A664F3">
        <w:rPr>
          <w:rFonts w:cs="Arial"/>
          <w:sz w:val="26"/>
          <w:szCs w:val="26"/>
          <w:lang w:val="es-MX"/>
        </w:rPr>
        <w:t xml:space="preserve"> consultar </w:t>
      </w:r>
      <w:r w:rsidR="00F026FE" w:rsidRPr="00A664F3">
        <w:rPr>
          <w:rFonts w:cs="Arial"/>
          <w:sz w:val="26"/>
          <w:szCs w:val="26"/>
          <w:lang w:val="es-MX"/>
        </w:rPr>
        <w:t xml:space="preserve">de manera estrecha </w:t>
      </w:r>
      <w:r w:rsidR="006F7970" w:rsidRPr="00A664F3">
        <w:rPr>
          <w:rFonts w:cs="Arial"/>
          <w:sz w:val="26"/>
          <w:szCs w:val="26"/>
          <w:lang w:val="es-MX"/>
        </w:rPr>
        <w:t>a las personas con discapacidad</w:t>
      </w:r>
      <w:r w:rsidR="007A00B6" w:rsidRPr="00A664F3">
        <w:rPr>
          <w:rFonts w:cs="Arial"/>
          <w:sz w:val="26"/>
          <w:szCs w:val="26"/>
          <w:lang w:val="es-MX"/>
        </w:rPr>
        <w:t xml:space="preserve"> </w:t>
      </w:r>
      <w:r w:rsidR="00052FC4" w:rsidRPr="00A664F3">
        <w:rPr>
          <w:rFonts w:cs="Arial"/>
          <w:sz w:val="26"/>
          <w:szCs w:val="26"/>
          <w:lang w:val="es-MX"/>
        </w:rPr>
        <w:t>opera</w:t>
      </w:r>
      <w:r w:rsidR="00F12E75" w:rsidRPr="00A664F3">
        <w:rPr>
          <w:rFonts w:cs="Arial"/>
          <w:sz w:val="26"/>
          <w:szCs w:val="26"/>
          <w:lang w:val="es-MX"/>
        </w:rPr>
        <w:t>, entre otros supuestos,</w:t>
      </w:r>
      <w:r w:rsidR="00052FC4" w:rsidRPr="00A664F3">
        <w:rPr>
          <w:rFonts w:cs="Arial"/>
          <w:sz w:val="26"/>
          <w:szCs w:val="26"/>
          <w:lang w:val="es-MX"/>
        </w:rPr>
        <w:t xml:space="preserve"> cuando</w:t>
      </w:r>
      <w:r w:rsidR="00F12E75" w:rsidRPr="00A664F3">
        <w:rPr>
          <w:rFonts w:cs="Arial"/>
          <w:sz w:val="26"/>
          <w:szCs w:val="26"/>
          <w:lang w:val="es-MX"/>
        </w:rPr>
        <w:t xml:space="preserve"> las medidas legislativas</w:t>
      </w:r>
      <w:r w:rsidR="00052FC4" w:rsidRPr="00A664F3">
        <w:rPr>
          <w:rFonts w:cs="Arial"/>
          <w:sz w:val="26"/>
          <w:szCs w:val="26"/>
          <w:lang w:val="es-MX"/>
        </w:rPr>
        <w:t xml:space="preserve"> sean susceptibles de afectar directa o indirectamente</w:t>
      </w:r>
      <w:r w:rsidR="003E48FF" w:rsidRPr="00A664F3">
        <w:rPr>
          <w:rFonts w:cs="Arial"/>
          <w:sz w:val="26"/>
          <w:szCs w:val="26"/>
          <w:lang w:val="es-MX"/>
        </w:rPr>
        <w:t xml:space="preserve"> a las personas con discapacidad</w:t>
      </w:r>
      <w:r w:rsidR="00F12E75" w:rsidRPr="00A664F3">
        <w:rPr>
          <w:rFonts w:cs="Arial"/>
          <w:sz w:val="26"/>
          <w:szCs w:val="26"/>
          <w:lang w:val="es-MX"/>
        </w:rPr>
        <w:t>.</w:t>
      </w:r>
      <w:r w:rsidR="002C5038" w:rsidRPr="00A664F3">
        <w:rPr>
          <w:rFonts w:cs="Arial"/>
          <w:sz w:val="26"/>
          <w:szCs w:val="26"/>
          <w:lang w:val="es-MX"/>
        </w:rPr>
        <w:t xml:space="preserve"> </w:t>
      </w:r>
      <w:r w:rsidR="001A0F97" w:rsidRPr="00A664F3">
        <w:rPr>
          <w:rFonts w:cs="Arial"/>
          <w:sz w:val="26"/>
          <w:szCs w:val="26"/>
          <w:lang w:val="es-MX"/>
        </w:rPr>
        <w:t>Esto sucede cuando una decisión</w:t>
      </w:r>
      <w:r w:rsidR="00E06B4B" w:rsidRPr="00A664F3">
        <w:rPr>
          <w:rFonts w:cs="Arial"/>
          <w:sz w:val="26"/>
          <w:szCs w:val="26"/>
          <w:lang w:val="es-MX"/>
        </w:rPr>
        <w:t xml:space="preserve"> </w:t>
      </w:r>
      <w:r w:rsidR="001A0F97" w:rsidRPr="00A664F3">
        <w:rPr>
          <w:rFonts w:cs="Arial"/>
          <w:sz w:val="26"/>
          <w:szCs w:val="26"/>
          <w:lang w:val="es-MX"/>
        </w:rPr>
        <w:t>t</w:t>
      </w:r>
      <w:r w:rsidR="00903CC2" w:rsidRPr="00A664F3">
        <w:rPr>
          <w:rFonts w:cs="Arial"/>
          <w:sz w:val="26"/>
          <w:szCs w:val="26"/>
          <w:lang w:val="es-MX"/>
        </w:rPr>
        <w:t>endrá</w:t>
      </w:r>
      <w:r w:rsidR="001A0F97" w:rsidRPr="00A664F3">
        <w:rPr>
          <w:rFonts w:cs="Arial"/>
          <w:sz w:val="26"/>
          <w:szCs w:val="26"/>
          <w:lang w:val="es-MX"/>
        </w:rPr>
        <w:t xml:space="preserve"> consecuencias</w:t>
      </w:r>
      <w:r w:rsidR="00845B07" w:rsidRPr="00A664F3">
        <w:rPr>
          <w:rFonts w:cs="Arial"/>
          <w:sz w:val="26"/>
          <w:szCs w:val="26"/>
          <w:lang w:val="es-MX"/>
        </w:rPr>
        <w:t xml:space="preserve"> visibles</w:t>
      </w:r>
      <w:r w:rsidR="00903CC2" w:rsidRPr="00A664F3">
        <w:rPr>
          <w:rFonts w:cs="Arial"/>
          <w:sz w:val="26"/>
          <w:szCs w:val="26"/>
          <w:lang w:val="es-MX"/>
        </w:rPr>
        <w:t xml:space="preserve"> sobre estos grupos </w:t>
      </w:r>
      <w:r w:rsidR="003030A4" w:rsidRPr="00A664F3">
        <w:rPr>
          <w:rFonts w:cs="Arial"/>
          <w:sz w:val="26"/>
          <w:szCs w:val="26"/>
          <w:lang w:val="es-MX"/>
        </w:rPr>
        <w:t xml:space="preserve">sociales </w:t>
      </w:r>
      <w:r w:rsidR="00903CC2" w:rsidRPr="00A664F3">
        <w:rPr>
          <w:rFonts w:cs="Arial"/>
          <w:sz w:val="26"/>
          <w:szCs w:val="26"/>
          <w:lang w:val="es-MX"/>
        </w:rPr>
        <w:t>en un</w:t>
      </w:r>
      <w:r w:rsidR="00F6047E" w:rsidRPr="00A664F3">
        <w:rPr>
          <w:rFonts w:cs="Arial"/>
          <w:sz w:val="26"/>
          <w:szCs w:val="26"/>
          <w:lang w:val="es-MX"/>
        </w:rPr>
        <w:t>a</w:t>
      </w:r>
      <w:r w:rsidR="00903CC2" w:rsidRPr="00A664F3">
        <w:rPr>
          <w:rFonts w:cs="Arial"/>
          <w:sz w:val="26"/>
          <w:szCs w:val="26"/>
          <w:lang w:val="es-MX"/>
        </w:rPr>
        <w:t xml:space="preserve"> </w:t>
      </w:r>
      <w:r w:rsidR="00F6047E" w:rsidRPr="00A664F3">
        <w:rPr>
          <w:rFonts w:cs="Arial"/>
          <w:sz w:val="26"/>
          <w:szCs w:val="26"/>
          <w:lang w:val="es-MX"/>
        </w:rPr>
        <w:t>proporción distinta</w:t>
      </w:r>
      <w:r w:rsidR="00903CC2" w:rsidRPr="00A664F3">
        <w:rPr>
          <w:rFonts w:cs="Arial"/>
          <w:sz w:val="26"/>
          <w:szCs w:val="26"/>
          <w:lang w:val="es-MX"/>
        </w:rPr>
        <w:t xml:space="preserve"> </w:t>
      </w:r>
      <w:r w:rsidR="00FD27CC" w:rsidRPr="00A664F3">
        <w:rPr>
          <w:rFonts w:cs="Arial"/>
          <w:sz w:val="26"/>
          <w:szCs w:val="26"/>
          <w:lang w:val="es-MX"/>
        </w:rPr>
        <w:t>a</w:t>
      </w:r>
      <w:r w:rsidR="00F6047E" w:rsidRPr="00A664F3">
        <w:rPr>
          <w:rFonts w:cs="Arial"/>
          <w:sz w:val="26"/>
          <w:szCs w:val="26"/>
          <w:lang w:val="es-MX"/>
        </w:rPr>
        <w:t xml:space="preserve"> </w:t>
      </w:r>
      <w:r w:rsidR="00FD27CC" w:rsidRPr="00A664F3">
        <w:rPr>
          <w:rFonts w:cs="Arial"/>
          <w:sz w:val="26"/>
          <w:szCs w:val="26"/>
          <w:lang w:val="es-MX"/>
        </w:rPr>
        <w:t>l</w:t>
      </w:r>
      <w:r w:rsidR="00F6047E" w:rsidRPr="00A664F3">
        <w:rPr>
          <w:rFonts w:cs="Arial"/>
          <w:sz w:val="26"/>
          <w:szCs w:val="26"/>
          <w:lang w:val="es-MX"/>
        </w:rPr>
        <w:t>a</w:t>
      </w:r>
      <w:r w:rsidR="00FD27CC" w:rsidRPr="00A664F3">
        <w:rPr>
          <w:rFonts w:cs="Arial"/>
          <w:sz w:val="26"/>
          <w:szCs w:val="26"/>
          <w:lang w:val="es-MX"/>
        </w:rPr>
        <w:t xml:space="preserve"> que las tendrá en el</w:t>
      </w:r>
      <w:r w:rsidR="00903CC2" w:rsidRPr="00A664F3">
        <w:rPr>
          <w:rFonts w:cs="Arial"/>
          <w:sz w:val="26"/>
          <w:szCs w:val="26"/>
          <w:lang w:val="es-MX"/>
        </w:rPr>
        <w:t xml:space="preserve"> resto de la población</w:t>
      </w:r>
      <w:r w:rsidR="001A0F97" w:rsidRPr="00A664F3">
        <w:rPr>
          <w:rFonts w:cs="Arial"/>
          <w:sz w:val="26"/>
          <w:szCs w:val="26"/>
          <w:lang w:val="es-MX"/>
        </w:rPr>
        <w:t xml:space="preserve">. </w:t>
      </w:r>
      <w:r w:rsidR="00D46013" w:rsidRPr="00A664F3">
        <w:rPr>
          <w:rFonts w:cs="Arial"/>
          <w:sz w:val="26"/>
          <w:szCs w:val="26"/>
          <w:lang w:val="es-MX"/>
        </w:rPr>
        <w:t>Por lo tanto, p</w:t>
      </w:r>
      <w:r w:rsidR="002C5038" w:rsidRPr="00A664F3">
        <w:rPr>
          <w:rFonts w:cs="Arial"/>
          <w:sz w:val="26"/>
          <w:szCs w:val="26"/>
          <w:lang w:val="es-MX"/>
        </w:rPr>
        <w:t xml:space="preserve">ara que se considere que una </w:t>
      </w:r>
      <w:r w:rsidR="0034692C" w:rsidRPr="00A664F3">
        <w:rPr>
          <w:rFonts w:cs="Arial"/>
          <w:sz w:val="26"/>
          <w:szCs w:val="26"/>
          <w:lang w:val="es-MX"/>
        </w:rPr>
        <w:t>ley</w:t>
      </w:r>
      <w:r w:rsidR="002C5038" w:rsidRPr="00A664F3">
        <w:rPr>
          <w:rFonts w:cs="Arial"/>
          <w:sz w:val="26"/>
          <w:szCs w:val="26"/>
          <w:lang w:val="es-MX"/>
        </w:rPr>
        <w:t xml:space="preserve"> </w:t>
      </w:r>
      <w:r w:rsidR="0034692C" w:rsidRPr="00A664F3">
        <w:rPr>
          <w:rFonts w:cs="Arial"/>
          <w:sz w:val="26"/>
          <w:szCs w:val="26"/>
          <w:lang w:val="es-MX"/>
        </w:rPr>
        <w:t>estatal</w:t>
      </w:r>
      <w:r w:rsidR="002C5038" w:rsidRPr="00A664F3">
        <w:rPr>
          <w:rFonts w:cs="Arial"/>
          <w:sz w:val="26"/>
          <w:szCs w:val="26"/>
          <w:lang w:val="es-MX"/>
        </w:rPr>
        <w:t xml:space="preserve"> no </w:t>
      </w:r>
      <w:r w:rsidR="0034692C" w:rsidRPr="00A664F3">
        <w:rPr>
          <w:rFonts w:cs="Arial"/>
          <w:sz w:val="26"/>
          <w:szCs w:val="26"/>
          <w:lang w:val="es-MX"/>
        </w:rPr>
        <w:t>requería consulta en términos de</w:t>
      </w:r>
      <w:r w:rsidR="00C717F4" w:rsidRPr="00A664F3">
        <w:rPr>
          <w:rFonts w:cs="Arial"/>
          <w:sz w:val="26"/>
          <w:szCs w:val="26"/>
          <w:lang w:val="es-MX"/>
        </w:rPr>
        <w:t xml:space="preserve"> este precepto de</w:t>
      </w:r>
      <w:r w:rsidR="0034692C" w:rsidRPr="00A664F3">
        <w:rPr>
          <w:rFonts w:cs="Arial"/>
          <w:sz w:val="26"/>
          <w:szCs w:val="26"/>
          <w:lang w:val="es-MX"/>
        </w:rPr>
        <w:t xml:space="preserve"> la Convención</w:t>
      </w:r>
      <w:r w:rsidR="002C5038" w:rsidRPr="00A664F3">
        <w:rPr>
          <w:rFonts w:cs="Arial"/>
          <w:sz w:val="26"/>
          <w:szCs w:val="26"/>
          <w:lang w:val="es-MX"/>
        </w:rPr>
        <w:t xml:space="preserve">, </w:t>
      </w:r>
      <w:r w:rsidR="00C717F4" w:rsidRPr="00A664F3">
        <w:rPr>
          <w:rFonts w:cs="Arial"/>
          <w:sz w:val="26"/>
          <w:szCs w:val="26"/>
          <w:lang w:val="es-MX"/>
        </w:rPr>
        <w:t xml:space="preserve">son siempre </w:t>
      </w:r>
      <w:r w:rsidR="002C5038" w:rsidRPr="00A664F3">
        <w:rPr>
          <w:rFonts w:cs="Arial"/>
          <w:sz w:val="26"/>
          <w:szCs w:val="26"/>
          <w:lang w:val="es-MX"/>
        </w:rPr>
        <w:t>las autoridades</w:t>
      </w:r>
      <w:r w:rsidR="0034692C" w:rsidRPr="00A664F3">
        <w:rPr>
          <w:rFonts w:cs="Arial"/>
          <w:sz w:val="26"/>
          <w:szCs w:val="26"/>
          <w:lang w:val="es-MX"/>
        </w:rPr>
        <w:t xml:space="preserve"> </w:t>
      </w:r>
      <w:r w:rsidR="00126642" w:rsidRPr="00A664F3">
        <w:rPr>
          <w:rFonts w:cs="Arial"/>
          <w:sz w:val="26"/>
          <w:szCs w:val="26"/>
          <w:lang w:val="es-MX"/>
        </w:rPr>
        <w:t>de la entidad federativa</w:t>
      </w:r>
      <w:r w:rsidR="00C717F4" w:rsidRPr="00A664F3">
        <w:rPr>
          <w:rFonts w:cs="Arial"/>
          <w:sz w:val="26"/>
          <w:szCs w:val="26"/>
          <w:lang w:val="es-MX"/>
        </w:rPr>
        <w:t xml:space="preserve"> </w:t>
      </w:r>
      <w:r w:rsidR="00144962" w:rsidRPr="00A664F3">
        <w:rPr>
          <w:rFonts w:cs="Arial"/>
          <w:sz w:val="26"/>
          <w:szCs w:val="26"/>
          <w:lang w:val="es-MX"/>
        </w:rPr>
        <w:t xml:space="preserve">correspondiente </w:t>
      </w:r>
      <w:r w:rsidR="00C717F4" w:rsidRPr="00A664F3">
        <w:rPr>
          <w:rFonts w:cs="Arial"/>
          <w:sz w:val="26"/>
          <w:szCs w:val="26"/>
          <w:lang w:val="es-MX"/>
        </w:rPr>
        <w:t>quienes</w:t>
      </w:r>
      <w:r w:rsidR="002C5038" w:rsidRPr="00A664F3">
        <w:rPr>
          <w:rFonts w:cs="Arial"/>
          <w:sz w:val="26"/>
          <w:szCs w:val="26"/>
          <w:lang w:val="es-MX"/>
        </w:rPr>
        <w:t xml:space="preserve"> tiene</w:t>
      </w:r>
      <w:r w:rsidR="0034692C" w:rsidRPr="00A664F3">
        <w:rPr>
          <w:rFonts w:cs="Arial"/>
          <w:sz w:val="26"/>
          <w:szCs w:val="26"/>
          <w:lang w:val="es-MX"/>
        </w:rPr>
        <w:t>n</w:t>
      </w:r>
      <w:r w:rsidR="002C5038" w:rsidRPr="00A664F3">
        <w:rPr>
          <w:rFonts w:cs="Arial"/>
          <w:sz w:val="26"/>
          <w:szCs w:val="26"/>
          <w:lang w:val="es-MX"/>
        </w:rPr>
        <w:t xml:space="preserve"> la carga de demostrar que la cuestión examinada no tiene un efecto desproporcionado sobre las personas con discapacidad</w:t>
      </w:r>
      <w:r w:rsidR="002C5038" w:rsidRPr="00A664F3">
        <w:rPr>
          <w:rStyle w:val="Refdenotaalpie"/>
          <w:rFonts w:cs="Arial"/>
          <w:sz w:val="26"/>
          <w:szCs w:val="26"/>
          <w:lang w:val="es-MX"/>
        </w:rPr>
        <w:footnoteReference w:id="83"/>
      </w:r>
      <w:r w:rsidR="002C5038" w:rsidRPr="00A664F3">
        <w:rPr>
          <w:rFonts w:cs="Arial"/>
          <w:sz w:val="26"/>
          <w:szCs w:val="26"/>
          <w:lang w:val="es-MX"/>
        </w:rPr>
        <w:t>.</w:t>
      </w:r>
    </w:p>
    <w:p w:rsidR="00F12E75" w:rsidRPr="00A664F3" w:rsidRDefault="00F12E75" w:rsidP="002F7A00">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 xml:space="preserve">Así, por ejemplo, </w:t>
      </w:r>
      <w:r w:rsidR="00561616" w:rsidRPr="00A664F3">
        <w:rPr>
          <w:rFonts w:cs="Arial"/>
          <w:sz w:val="26"/>
          <w:szCs w:val="26"/>
          <w:lang w:val="es-MX"/>
        </w:rPr>
        <w:t>al resolver</w:t>
      </w:r>
      <w:r w:rsidR="00ED3ADD" w:rsidRPr="00A664F3">
        <w:rPr>
          <w:rFonts w:cs="Arial"/>
          <w:sz w:val="26"/>
          <w:szCs w:val="26"/>
          <w:lang w:val="es-MX"/>
        </w:rPr>
        <w:t>se</w:t>
      </w:r>
      <w:r w:rsidR="00561616" w:rsidRPr="00A664F3">
        <w:rPr>
          <w:rFonts w:cs="Arial"/>
          <w:sz w:val="26"/>
          <w:szCs w:val="26"/>
          <w:lang w:val="es-MX"/>
        </w:rPr>
        <w:t xml:space="preserve"> </w:t>
      </w:r>
      <w:r w:rsidRPr="00A664F3">
        <w:rPr>
          <w:rFonts w:cs="Arial"/>
          <w:sz w:val="26"/>
          <w:szCs w:val="26"/>
          <w:lang w:val="es-MX"/>
        </w:rPr>
        <w:t xml:space="preserve">la </w:t>
      </w:r>
      <w:r w:rsidRPr="00A664F3">
        <w:rPr>
          <w:rFonts w:cs="Arial"/>
          <w:b/>
          <w:sz w:val="26"/>
          <w:szCs w:val="26"/>
          <w:lang w:val="es-MX"/>
        </w:rPr>
        <w:t>acción</w:t>
      </w:r>
      <w:r w:rsidR="00561616" w:rsidRPr="00A664F3">
        <w:rPr>
          <w:rFonts w:cs="Arial"/>
          <w:b/>
          <w:sz w:val="26"/>
          <w:szCs w:val="26"/>
          <w:lang w:val="es-MX"/>
        </w:rPr>
        <w:t xml:space="preserve"> de inconstitucionalidad 101/2016</w:t>
      </w:r>
      <w:r w:rsidR="00561616" w:rsidRPr="00A664F3">
        <w:rPr>
          <w:rStyle w:val="Refdenotaalpie"/>
          <w:rFonts w:cs="Arial"/>
          <w:sz w:val="26"/>
          <w:szCs w:val="26"/>
        </w:rPr>
        <w:footnoteReference w:id="84"/>
      </w:r>
      <w:r w:rsidRPr="00A664F3">
        <w:rPr>
          <w:rFonts w:cs="Arial"/>
          <w:sz w:val="26"/>
          <w:szCs w:val="26"/>
          <w:lang w:val="es-MX"/>
        </w:rPr>
        <w:t xml:space="preserve"> </w:t>
      </w:r>
      <w:r w:rsidR="00905FBD" w:rsidRPr="00A664F3">
        <w:rPr>
          <w:rFonts w:cs="Arial"/>
          <w:sz w:val="26"/>
          <w:szCs w:val="26"/>
          <w:lang w:val="es-MX"/>
        </w:rPr>
        <w:t>el Tribunal Pleno</w:t>
      </w:r>
      <w:r w:rsidRPr="00A664F3">
        <w:rPr>
          <w:rFonts w:cs="Arial"/>
          <w:sz w:val="26"/>
          <w:szCs w:val="26"/>
          <w:lang w:val="es-MX"/>
        </w:rPr>
        <w:t xml:space="preserve"> </w:t>
      </w:r>
      <w:r w:rsidR="00561616" w:rsidRPr="00A664F3">
        <w:rPr>
          <w:rFonts w:cs="Arial"/>
          <w:sz w:val="26"/>
          <w:szCs w:val="26"/>
          <w:lang w:val="es-MX"/>
        </w:rPr>
        <w:t>determinó que</w:t>
      </w:r>
      <w:r w:rsidR="00ED3ADD" w:rsidRPr="00A664F3">
        <w:rPr>
          <w:rFonts w:cs="Arial"/>
          <w:sz w:val="26"/>
          <w:szCs w:val="26"/>
          <w:lang w:val="es-MX"/>
        </w:rPr>
        <w:t xml:space="preserve"> debía</w:t>
      </w:r>
      <w:r w:rsidR="00561616" w:rsidRPr="00A664F3">
        <w:rPr>
          <w:rFonts w:cs="Arial"/>
          <w:sz w:val="26"/>
          <w:szCs w:val="26"/>
          <w:lang w:val="es-MX"/>
        </w:rPr>
        <w:t xml:space="preserve">n </w:t>
      </w:r>
      <w:r w:rsidR="001D58FF" w:rsidRPr="00A664F3">
        <w:rPr>
          <w:rFonts w:cs="Arial"/>
          <w:sz w:val="26"/>
          <w:szCs w:val="26"/>
          <w:lang w:val="es-MX"/>
        </w:rPr>
        <w:t xml:space="preserve">haberse </w:t>
      </w:r>
      <w:r w:rsidR="00561616" w:rsidRPr="00A664F3">
        <w:rPr>
          <w:rFonts w:cs="Arial"/>
          <w:sz w:val="26"/>
          <w:szCs w:val="26"/>
          <w:lang w:val="es-MX"/>
        </w:rPr>
        <w:t>consulta</w:t>
      </w:r>
      <w:r w:rsidR="001D58FF" w:rsidRPr="00A664F3">
        <w:rPr>
          <w:rFonts w:cs="Arial"/>
          <w:sz w:val="26"/>
          <w:szCs w:val="26"/>
          <w:lang w:val="es-MX"/>
        </w:rPr>
        <w:t>do</w:t>
      </w:r>
      <w:r w:rsidR="00561616" w:rsidRPr="00A664F3">
        <w:rPr>
          <w:rFonts w:cs="Arial"/>
          <w:sz w:val="26"/>
          <w:szCs w:val="26"/>
          <w:lang w:val="es-MX"/>
        </w:rPr>
        <w:t xml:space="preserve"> </w:t>
      </w:r>
      <w:r w:rsidR="00ED3ADD" w:rsidRPr="00A664F3">
        <w:rPr>
          <w:rFonts w:cs="Arial"/>
          <w:sz w:val="26"/>
          <w:szCs w:val="26"/>
          <w:lang w:val="es-MX"/>
        </w:rPr>
        <w:t xml:space="preserve">previamente </w:t>
      </w:r>
      <w:r w:rsidR="00561616" w:rsidRPr="00A664F3">
        <w:rPr>
          <w:rFonts w:cs="Arial"/>
          <w:sz w:val="26"/>
          <w:szCs w:val="26"/>
          <w:lang w:val="es-MX"/>
        </w:rPr>
        <w:t>las normas que regula</w:t>
      </w:r>
      <w:r w:rsidR="001D58FF" w:rsidRPr="00A664F3">
        <w:rPr>
          <w:rFonts w:cs="Arial"/>
          <w:sz w:val="26"/>
          <w:szCs w:val="26"/>
          <w:lang w:val="es-MX"/>
        </w:rPr>
        <w:t>ba</w:t>
      </w:r>
      <w:r w:rsidR="00561616" w:rsidRPr="00A664F3">
        <w:rPr>
          <w:rFonts w:cs="Arial"/>
          <w:sz w:val="26"/>
          <w:szCs w:val="26"/>
          <w:lang w:val="es-MX"/>
        </w:rPr>
        <w:t>n la atención integral de las personas con Síndrome de Down</w:t>
      </w:r>
      <w:r w:rsidR="006A39F7" w:rsidRPr="00A664F3">
        <w:rPr>
          <w:rFonts w:cs="Arial"/>
          <w:sz w:val="26"/>
          <w:szCs w:val="26"/>
          <w:lang w:val="es-MX"/>
        </w:rPr>
        <w:t>, pues la decisión del legislador afectaba directamente a las personas con este tipo de discapacidad</w:t>
      </w:r>
      <w:r w:rsidR="006A39F7" w:rsidRPr="00A664F3">
        <w:rPr>
          <w:rStyle w:val="Refdenotaalpie"/>
          <w:rFonts w:cs="Arial"/>
          <w:sz w:val="26"/>
          <w:szCs w:val="26"/>
        </w:rPr>
        <w:footnoteReference w:id="85"/>
      </w:r>
      <w:r w:rsidRPr="00A664F3">
        <w:rPr>
          <w:rFonts w:cs="Arial"/>
          <w:sz w:val="26"/>
          <w:szCs w:val="26"/>
          <w:lang w:val="es-MX"/>
        </w:rPr>
        <w:t xml:space="preserve">. Asimismo, en </w:t>
      </w:r>
      <w:r w:rsidRPr="00A664F3">
        <w:rPr>
          <w:rFonts w:cs="Arial"/>
          <w:b/>
          <w:sz w:val="26"/>
          <w:szCs w:val="26"/>
          <w:lang w:val="es-MX"/>
        </w:rPr>
        <w:t>la</w:t>
      </w:r>
      <w:r w:rsidR="00ED3ADD" w:rsidRPr="00A664F3">
        <w:rPr>
          <w:rFonts w:cs="Arial"/>
          <w:b/>
          <w:sz w:val="26"/>
          <w:szCs w:val="26"/>
        </w:rPr>
        <w:t xml:space="preserve"> acción de inconstitucionalidad 68/2018</w:t>
      </w:r>
      <w:r w:rsidR="00ED3ADD" w:rsidRPr="00A664F3">
        <w:rPr>
          <w:rStyle w:val="Refdenotaalpie"/>
          <w:rFonts w:cs="Arial"/>
          <w:sz w:val="26"/>
          <w:szCs w:val="26"/>
          <w:lang w:val="es-MX"/>
        </w:rPr>
        <w:footnoteReference w:id="86"/>
      </w:r>
      <w:r w:rsidR="00ED3ADD" w:rsidRPr="00A664F3">
        <w:rPr>
          <w:rFonts w:cs="Arial"/>
          <w:b/>
          <w:sz w:val="26"/>
          <w:szCs w:val="26"/>
        </w:rPr>
        <w:t xml:space="preserve"> </w:t>
      </w:r>
      <w:r w:rsidR="00ED3ADD" w:rsidRPr="00A664F3">
        <w:rPr>
          <w:rFonts w:cs="Arial"/>
          <w:sz w:val="26"/>
          <w:szCs w:val="26"/>
        </w:rPr>
        <w:t xml:space="preserve">se </w:t>
      </w:r>
      <w:r w:rsidR="00894B94" w:rsidRPr="00A664F3">
        <w:rPr>
          <w:rFonts w:cs="Arial"/>
          <w:sz w:val="26"/>
          <w:szCs w:val="26"/>
        </w:rPr>
        <w:t>resolvió</w:t>
      </w:r>
      <w:r w:rsidR="00ED3ADD" w:rsidRPr="00A664F3">
        <w:rPr>
          <w:rFonts w:cs="Arial"/>
          <w:sz w:val="26"/>
          <w:szCs w:val="26"/>
        </w:rPr>
        <w:t xml:space="preserve"> que existía obligación de </w:t>
      </w:r>
      <w:r w:rsidR="007131C0" w:rsidRPr="00A664F3">
        <w:rPr>
          <w:rFonts w:cs="Arial"/>
          <w:sz w:val="26"/>
          <w:szCs w:val="26"/>
        </w:rPr>
        <w:t xml:space="preserve">llevar a cabo una consulta cuando se pretendiera incluir </w:t>
      </w:r>
      <w:r w:rsidR="00FD59D7" w:rsidRPr="00A664F3">
        <w:rPr>
          <w:rFonts w:cs="Arial"/>
          <w:sz w:val="26"/>
          <w:szCs w:val="26"/>
        </w:rPr>
        <w:t xml:space="preserve">en la </w:t>
      </w:r>
      <w:r w:rsidR="00FD59D7" w:rsidRPr="00A664F3">
        <w:rPr>
          <w:rFonts w:cs="Arial"/>
          <w:sz w:val="26"/>
          <w:szCs w:val="26"/>
        </w:rPr>
        <w:lastRenderedPageBreak/>
        <w:t xml:space="preserve">ley </w:t>
      </w:r>
      <w:r w:rsidR="007131C0" w:rsidRPr="00A664F3">
        <w:rPr>
          <w:rFonts w:cs="Arial"/>
          <w:sz w:val="26"/>
          <w:szCs w:val="26"/>
        </w:rPr>
        <w:t>a las personas con discapacidad temporal como beneficiarios de los lugares de estacionamiento reservados para las personas con discapacidad</w:t>
      </w:r>
      <w:r w:rsidR="006A39F7" w:rsidRPr="00A664F3">
        <w:rPr>
          <w:rFonts w:cs="Arial"/>
          <w:sz w:val="26"/>
          <w:szCs w:val="26"/>
        </w:rPr>
        <w:t xml:space="preserve">, pues se afectaba </w:t>
      </w:r>
      <w:r w:rsidR="00894B94" w:rsidRPr="00A664F3">
        <w:rPr>
          <w:rFonts w:cs="Arial"/>
          <w:sz w:val="26"/>
          <w:szCs w:val="26"/>
        </w:rPr>
        <w:t xml:space="preserve">directamente </w:t>
      </w:r>
      <w:r w:rsidR="006A39F7" w:rsidRPr="00A664F3">
        <w:rPr>
          <w:rFonts w:cs="Arial"/>
          <w:sz w:val="26"/>
          <w:szCs w:val="26"/>
        </w:rPr>
        <w:t>el derecho de accesibilidad que tienen las personas con una discapacidad permanente</w:t>
      </w:r>
      <w:r w:rsidR="006A39F7" w:rsidRPr="00A664F3">
        <w:rPr>
          <w:rStyle w:val="Refdenotaalpie"/>
          <w:rFonts w:cs="Arial"/>
          <w:sz w:val="26"/>
          <w:szCs w:val="26"/>
        </w:rPr>
        <w:footnoteReference w:id="87"/>
      </w:r>
      <w:r w:rsidR="007131C0" w:rsidRPr="00A664F3">
        <w:rPr>
          <w:rFonts w:cs="Arial"/>
          <w:sz w:val="26"/>
          <w:szCs w:val="26"/>
        </w:rPr>
        <w:t xml:space="preserve">. </w:t>
      </w:r>
      <w:r w:rsidR="00894B94" w:rsidRPr="00A664F3">
        <w:rPr>
          <w:rFonts w:cs="Arial"/>
          <w:sz w:val="26"/>
          <w:szCs w:val="26"/>
        </w:rPr>
        <w:t>Del mismo modo, e</w:t>
      </w:r>
      <w:r w:rsidR="007131C0" w:rsidRPr="00A664F3">
        <w:rPr>
          <w:rFonts w:cs="Arial"/>
          <w:sz w:val="26"/>
          <w:szCs w:val="26"/>
        </w:rPr>
        <w:t>n</w:t>
      </w:r>
      <w:r w:rsidR="00ED3ADD" w:rsidRPr="00A664F3">
        <w:rPr>
          <w:rFonts w:cs="Arial"/>
          <w:sz w:val="26"/>
          <w:szCs w:val="26"/>
        </w:rPr>
        <w:t xml:space="preserve"> la </w:t>
      </w:r>
      <w:r w:rsidR="00ED3ADD" w:rsidRPr="00A664F3">
        <w:rPr>
          <w:rFonts w:cs="Arial"/>
          <w:b/>
          <w:sz w:val="26"/>
          <w:szCs w:val="26"/>
        </w:rPr>
        <w:t>acción de inconstitucionalidad 1/2017</w:t>
      </w:r>
      <w:r w:rsidR="00ED3ADD" w:rsidRPr="00A664F3">
        <w:rPr>
          <w:rStyle w:val="Refdenotaalpie"/>
          <w:rFonts w:cs="Arial"/>
          <w:sz w:val="26"/>
          <w:szCs w:val="26"/>
          <w:lang w:val="es-MX"/>
        </w:rPr>
        <w:footnoteReference w:id="88"/>
      </w:r>
      <w:r w:rsidR="00ED3ADD" w:rsidRPr="00A664F3">
        <w:rPr>
          <w:rFonts w:cs="Arial"/>
          <w:sz w:val="26"/>
          <w:szCs w:val="26"/>
        </w:rPr>
        <w:t xml:space="preserve"> se </w:t>
      </w:r>
      <w:r w:rsidR="00894B94" w:rsidRPr="00A664F3">
        <w:rPr>
          <w:rFonts w:cs="Arial"/>
          <w:sz w:val="26"/>
          <w:szCs w:val="26"/>
        </w:rPr>
        <w:t>concluyó</w:t>
      </w:r>
      <w:r w:rsidR="00ED3ADD" w:rsidRPr="00A664F3">
        <w:rPr>
          <w:rFonts w:cs="Arial"/>
          <w:sz w:val="26"/>
          <w:szCs w:val="26"/>
        </w:rPr>
        <w:t xml:space="preserve"> que </w:t>
      </w:r>
      <w:r w:rsidR="00FA1EEA" w:rsidRPr="00A664F3">
        <w:rPr>
          <w:rFonts w:cs="Arial"/>
          <w:sz w:val="26"/>
          <w:szCs w:val="26"/>
        </w:rPr>
        <w:t>una norma dirigida a las personas con condición del espectro autista y trastornos del neuro</w:t>
      </w:r>
      <w:r w:rsidR="003768AA" w:rsidRPr="00A664F3">
        <w:rPr>
          <w:rFonts w:cs="Arial"/>
          <w:sz w:val="26"/>
          <w:szCs w:val="26"/>
        </w:rPr>
        <w:t>desarrollo</w:t>
      </w:r>
      <w:r w:rsidR="00FA1EEA" w:rsidRPr="00A664F3">
        <w:rPr>
          <w:rFonts w:cs="Arial"/>
          <w:sz w:val="26"/>
          <w:szCs w:val="26"/>
        </w:rPr>
        <w:t xml:space="preserve"> claramente constitu</w:t>
      </w:r>
      <w:r w:rsidR="003768AA" w:rsidRPr="00A664F3">
        <w:rPr>
          <w:rFonts w:cs="Arial"/>
          <w:sz w:val="26"/>
          <w:szCs w:val="26"/>
        </w:rPr>
        <w:t>ía</w:t>
      </w:r>
      <w:r w:rsidR="00FA1EEA" w:rsidRPr="00A664F3">
        <w:rPr>
          <w:rFonts w:cs="Arial"/>
          <w:sz w:val="26"/>
          <w:szCs w:val="26"/>
        </w:rPr>
        <w:t xml:space="preserve"> un acto legislativo que afecta</w:t>
      </w:r>
      <w:r w:rsidR="003768AA" w:rsidRPr="00A664F3">
        <w:rPr>
          <w:rFonts w:cs="Arial"/>
          <w:sz w:val="26"/>
          <w:szCs w:val="26"/>
        </w:rPr>
        <w:t>ba</w:t>
      </w:r>
      <w:r w:rsidR="006028D8" w:rsidRPr="00A664F3">
        <w:rPr>
          <w:rFonts w:cs="Arial"/>
          <w:sz w:val="26"/>
          <w:szCs w:val="26"/>
        </w:rPr>
        <w:t xml:space="preserve"> directamente</w:t>
      </w:r>
      <w:r w:rsidR="00FA1EEA" w:rsidRPr="00A664F3">
        <w:rPr>
          <w:rFonts w:cs="Arial"/>
          <w:sz w:val="26"/>
          <w:szCs w:val="26"/>
        </w:rPr>
        <w:t xml:space="preserve"> a las personas con discapacidad intelectual</w:t>
      </w:r>
      <w:r w:rsidR="005C4C61" w:rsidRPr="00A664F3">
        <w:rPr>
          <w:rFonts w:cs="Arial"/>
          <w:sz w:val="26"/>
          <w:szCs w:val="26"/>
        </w:rPr>
        <w:t xml:space="preserve"> y, por lo tanto, requería ser consultada previamente</w:t>
      </w:r>
      <w:r w:rsidR="006942FC" w:rsidRPr="00A664F3">
        <w:rPr>
          <w:rFonts w:cs="Arial"/>
          <w:sz w:val="26"/>
          <w:szCs w:val="26"/>
        </w:rPr>
        <w:t xml:space="preserve"> con ellas</w:t>
      </w:r>
      <w:r w:rsidR="00B73E02" w:rsidRPr="00A664F3">
        <w:rPr>
          <w:rStyle w:val="Refdenotaalpie"/>
          <w:rFonts w:cs="Arial"/>
          <w:sz w:val="26"/>
          <w:szCs w:val="26"/>
        </w:rPr>
        <w:footnoteReference w:id="89"/>
      </w:r>
      <w:r w:rsidR="00ED3ADD" w:rsidRPr="00A664F3">
        <w:rPr>
          <w:rFonts w:cs="Arial"/>
          <w:sz w:val="26"/>
          <w:szCs w:val="26"/>
        </w:rPr>
        <w:t xml:space="preserve">. </w:t>
      </w:r>
      <w:r w:rsidR="005C4C61" w:rsidRPr="00A664F3">
        <w:rPr>
          <w:rFonts w:cs="Arial"/>
          <w:sz w:val="26"/>
          <w:szCs w:val="26"/>
        </w:rPr>
        <w:t>Por último</w:t>
      </w:r>
      <w:r w:rsidR="00ED3ADD" w:rsidRPr="00A664F3">
        <w:rPr>
          <w:rFonts w:cs="Arial"/>
          <w:sz w:val="26"/>
          <w:szCs w:val="26"/>
        </w:rPr>
        <w:t xml:space="preserve">, en la </w:t>
      </w:r>
      <w:r w:rsidR="00ED3ADD" w:rsidRPr="00A664F3">
        <w:rPr>
          <w:rFonts w:cs="Arial"/>
          <w:b/>
          <w:sz w:val="26"/>
          <w:szCs w:val="26"/>
        </w:rPr>
        <w:t>acción de inconstitucionalidad 80/2017 y su acumulada</w:t>
      </w:r>
      <w:r w:rsidR="00ED3ADD" w:rsidRPr="00A664F3">
        <w:rPr>
          <w:rStyle w:val="Refdenotaalpie"/>
          <w:rFonts w:cs="Arial"/>
          <w:sz w:val="26"/>
          <w:szCs w:val="26"/>
          <w:lang w:val="es-MX"/>
        </w:rPr>
        <w:footnoteReference w:id="90"/>
      </w:r>
      <w:r w:rsidR="00ED3ADD" w:rsidRPr="00A664F3">
        <w:rPr>
          <w:rFonts w:cs="Arial"/>
          <w:sz w:val="26"/>
          <w:szCs w:val="26"/>
          <w:lang w:val="es-MX"/>
        </w:rPr>
        <w:t xml:space="preserve"> </w:t>
      </w:r>
      <w:r w:rsidRPr="00A664F3">
        <w:rPr>
          <w:rFonts w:cs="Arial"/>
          <w:sz w:val="26"/>
          <w:szCs w:val="26"/>
          <w:lang w:val="es-MX"/>
        </w:rPr>
        <w:t xml:space="preserve">se </w:t>
      </w:r>
      <w:r w:rsidR="00ED3ADD" w:rsidRPr="00A664F3">
        <w:rPr>
          <w:rFonts w:cs="Arial"/>
          <w:sz w:val="26"/>
          <w:szCs w:val="26"/>
          <w:lang w:val="es-MX"/>
        </w:rPr>
        <w:t xml:space="preserve">resolvió que </w:t>
      </w:r>
      <w:r w:rsidR="005C4C61" w:rsidRPr="00A664F3">
        <w:rPr>
          <w:rFonts w:cs="Arial"/>
          <w:sz w:val="26"/>
          <w:szCs w:val="26"/>
          <w:lang w:val="es-MX"/>
        </w:rPr>
        <w:t>las normas que regula</w:t>
      </w:r>
      <w:r w:rsidR="003768AA" w:rsidRPr="00A664F3">
        <w:rPr>
          <w:rFonts w:cs="Arial"/>
          <w:sz w:val="26"/>
          <w:szCs w:val="26"/>
          <w:lang w:val="es-MX"/>
        </w:rPr>
        <w:t>ba</w:t>
      </w:r>
      <w:r w:rsidR="005C4C61" w:rsidRPr="00A664F3">
        <w:rPr>
          <w:rFonts w:cs="Arial"/>
          <w:sz w:val="26"/>
          <w:szCs w:val="26"/>
          <w:lang w:val="es-MX"/>
        </w:rPr>
        <w:t>n el enfoque que ten</w:t>
      </w:r>
      <w:r w:rsidR="000A0ADD" w:rsidRPr="00A664F3">
        <w:rPr>
          <w:rFonts w:cs="Arial"/>
          <w:sz w:val="26"/>
          <w:szCs w:val="26"/>
          <w:lang w:val="es-MX"/>
        </w:rPr>
        <w:t>dr</w:t>
      </w:r>
      <w:r w:rsidR="003768AA" w:rsidRPr="00A664F3">
        <w:rPr>
          <w:rFonts w:cs="Arial"/>
          <w:sz w:val="26"/>
          <w:szCs w:val="26"/>
          <w:lang w:val="es-MX"/>
        </w:rPr>
        <w:t>ía</w:t>
      </w:r>
      <w:r w:rsidR="005C4C61" w:rsidRPr="00A664F3">
        <w:rPr>
          <w:rFonts w:cs="Arial"/>
          <w:sz w:val="26"/>
          <w:szCs w:val="26"/>
          <w:lang w:val="es-MX"/>
        </w:rPr>
        <w:t xml:space="preserve"> la asistencia social</w:t>
      </w:r>
      <w:r w:rsidR="00FA4682" w:rsidRPr="00A664F3">
        <w:rPr>
          <w:rFonts w:cs="Arial"/>
          <w:sz w:val="26"/>
          <w:szCs w:val="26"/>
          <w:lang w:val="es-MX"/>
        </w:rPr>
        <w:t xml:space="preserve"> en una entidad federativa</w:t>
      </w:r>
      <w:r w:rsidR="005C4C61" w:rsidRPr="00A664F3">
        <w:rPr>
          <w:rFonts w:cs="Arial"/>
          <w:sz w:val="26"/>
          <w:szCs w:val="26"/>
          <w:lang w:val="es-MX"/>
        </w:rPr>
        <w:t xml:space="preserve"> tratándose de personas con discapacidad</w:t>
      </w:r>
      <w:r w:rsidR="000A0ADD" w:rsidRPr="00A664F3">
        <w:rPr>
          <w:rFonts w:cs="Arial"/>
          <w:sz w:val="26"/>
          <w:szCs w:val="26"/>
          <w:lang w:val="es-MX"/>
        </w:rPr>
        <w:t xml:space="preserve"> </w:t>
      </w:r>
      <w:r w:rsidR="005C4C61" w:rsidRPr="00A664F3">
        <w:rPr>
          <w:rFonts w:cs="Arial"/>
          <w:sz w:val="26"/>
          <w:szCs w:val="26"/>
          <w:lang w:val="es-MX"/>
        </w:rPr>
        <w:t>impacta</w:t>
      </w:r>
      <w:r w:rsidR="003768AA" w:rsidRPr="00A664F3">
        <w:rPr>
          <w:rFonts w:cs="Arial"/>
          <w:sz w:val="26"/>
          <w:szCs w:val="26"/>
          <w:lang w:val="es-MX"/>
        </w:rPr>
        <w:t>ba</w:t>
      </w:r>
      <w:r w:rsidR="005C4C61" w:rsidRPr="00A664F3">
        <w:rPr>
          <w:rFonts w:cs="Arial"/>
          <w:sz w:val="26"/>
          <w:szCs w:val="26"/>
          <w:lang w:val="es-MX"/>
        </w:rPr>
        <w:t xml:space="preserve">n directamente a </w:t>
      </w:r>
      <w:r w:rsidR="003768AA" w:rsidRPr="00A664F3">
        <w:rPr>
          <w:rFonts w:cs="Arial"/>
          <w:sz w:val="26"/>
          <w:szCs w:val="26"/>
          <w:lang w:val="es-MX"/>
        </w:rPr>
        <w:t>est</w:t>
      </w:r>
      <w:r w:rsidR="003A1782" w:rsidRPr="00A664F3">
        <w:rPr>
          <w:rFonts w:cs="Arial"/>
          <w:sz w:val="26"/>
          <w:szCs w:val="26"/>
          <w:lang w:val="es-MX"/>
        </w:rPr>
        <w:t>os</w:t>
      </w:r>
      <w:r w:rsidR="005C4C61" w:rsidRPr="00A664F3">
        <w:rPr>
          <w:rFonts w:cs="Arial"/>
          <w:sz w:val="26"/>
          <w:szCs w:val="26"/>
          <w:lang w:val="es-MX"/>
        </w:rPr>
        <w:t xml:space="preserve"> </w:t>
      </w:r>
      <w:r w:rsidR="003A1782" w:rsidRPr="00A664F3">
        <w:rPr>
          <w:rFonts w:cs="Arial"/>
          <w:sz w:val="26"/>
          <w:szCs w:val="26"/>
          <w:lang w:val="es-MX"/>
        </w:rPr>
        <w:t>grupos</w:t>
      </w:r>
      <w:r w:rsidR="005C4C61" w:rsidRPr="00A664F3">
        <w:rPr>
          <w:rFonts w:cs="Arial"/>
          <w:sz w:val="26"/>
          <w:szCs w:val="26"/>
          <w:lang w:val="es-MX"/>
        </w:rPr>
        <w:t xml:space="preserve"> y, por ende, también requ</w:t>
      </w:r>
      <w:r w:rsidR="003768AA" w:rsidRPr="00A664F3">
        <w:rPr>
          <w:rFonts w:cs="Arial"/>
          <w:sz w:val="26"/>
          <w:szCs w:val="26"/>
          <w:lang w:val="es-MX"/>
        </w:rPr>
        <w:t>erían</w:t>
      </w:r>
      <w:r w:rsidR="005C4C61" w:rsidRPr="00A664F3">
        <w:rPr>
          <w:rFonts w:cs="Arial"/>
          <w:sz w:val="26"/>
          <w:szCs w:val="26"/>
          <w:lang w:val="es-MX"/>
        </w:rPr>
        <w:t xml:space="preserve"> ser consultadas</w:t>
      </w:r>
      <w:r w:rsidR="000A0ADD" w:rsidRPr="00A664F3">
        <w:rPr>
          <w:rFonts w:cs="Arial"/>
          <w:sz w:val="26"/>
          <w:szCs w:val="26"/>
          <w:lang w:val="es-MX"/>
        </w:rPr>
        <w:t xml:space="preserve"> previamente</w:t>
      </w:r>
      <w:r w:rsidR="005C4C61" w:rsidRPr="00A664F3">
        <w:rPr>
          <w:rStyle w:val="Refdenotaalpie"/>
          <w:rFonts w:cs="Arial"/>
          <w:sz w:val="26"/>
          <w:szCs w:val="26"/>
        </w:rPr>
        <w:footnoteReference w:id="91"/>
      </w:r>
      <w:r w:rsidR="003A1782" w:rsidRPr="00A664F3">
        <w:rPr>
          <w:rFonts w:cs="Arial"/>
          <w:sz w:val="26"/>
          <w:szCs w:val="26"/>
          <w:lang w:val="es-MX"/>
        </w:rPr>
        <w:t>.</w:t>
      </w:r>
    </w:p>
    <w:p w:rsidR="00052FC4" w:rsidRPr="00A664F3" w:rsidRDefault="004D448E" w:rsidP="005D5EEC">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En</w:t>
      </w:r>
      <w:r w:rsidR="000F67C4" w:rsidRPr="00A664F3">
        <w:rPr>
          <w:rFonts w:cs="Arial"/>
          <w:sz w:val="26"/>
          <w:szCs w:val="26"/>
          <w:lang w:val="es-MX"/>
        </w:rPr>
        <w:t xml:space="preserve"> </w:t>
      </w:r>
      <w:r w:rsidR="00F12E75" w:rsidRPr="00A664F3">
        <w:rPr>
          <w:rFonts w:cs="Arial"/>
          <w:sz w:val="26"/>
          <w:szCs w:val="26"/>
          <w:lang w:val="es-MX"/>
        </w:rPr>
        <w:t xml:space="preserve">estos precedentes </w:t>
      </w:r>
      <w:r w:rsidR="00561616" w:rsidRPr="00A664F3">
        <w:rPr>
          <w:rFonts w:cs="Arial"/>
          <w:sz w:val="26"/>
          <w:szCs w:val="26"/>
          <w:lang w:val="es-MX"/>
        </w:rPr>
        <w:t>el Tribunal Pleno</w:t>
      </w:r>
      <w:r w:rsidR="00F12E75" w:rsidRPr="00A664F3">
        <w:rPr>
          <w:rFonts w:cs="Arial"/>
          <w:sz w:val="26"/>
          <w:szCs w:val="26"/>
          <w:lang w:val="es-MX"/>
        </w:rPr>
        <w:t xml:space="preserve"> ha explicado que </w:t>
      </w:r>
      <w:r w:rsidR="00282B06" w:rsidRPr="00A664F3">
        <w:rPr>
          <w:rFonts w:cs="Arial"/>
          <w:sz w:val="26"/>
          <w:szCs w:val="26"/>
          <w:lang w:val="es-MX"/>
        </w:rPr>
        <w:t>l</w:t>
      </w:r>
      <w:r w:rsidR="00F12E75" w:rsidRPr="00A664F3">
        <w:rPr>
          <w:rFonts w:cs="Arial"/>
          <w:sz w:val="26"/>
          <w:szCs w:val="26"/>
          <w:lang w:val="es-MX"/>
        </w:rPr>
        <w:t xml:space="preserve">a obligación de consultar </w:t>
      </w:r>
      <w:r w:rsidR="00B14F3C" w:rsidRPr="00A664F3">
        <w:rPr>
          <w:rFonts w:cs="Arial"/>
          <w:sz w:val="26"/>
          <w:szCs w:val="26"/>
          <w:lang w:val="es-MX"/>
        </w:rPr>
        <w:t xml:space="preserve">estrechamente </w:t>
      </w:r>
      <w:r w:rsidR="00F12E75" w:rsidRPr="00A664F3">
        <w:rPr>
          <w:rFonts w:cs="Arial"/>
          <w:sz w:val="26"/>
          <w:szCs w:val="26"/>
          <w:lang w:val="es-MX"/>
        </w:rPr>
        <w:t>a las personas con discapacidad</w:t>
      </w:r>
      <w:r w:rsidR="00282B06" w:rsidRPr="00A664F3">
        <w:rPr>
          <w:rFonts w:cs="Arial"/>
          <w:sz w:val="26"/>
          <w:szCs w:val="26"/>
          <w:lang w:val="es-MX"/>
        </w:rPr>
        <w:t xml:space="preserve"> prevista en el artículo 4.3 de la Convención</w:t>
      </w:r>
      <w:r w:rsidR="00F12E75" w:rsidRPr="00A664F3">
        <w:rPr>
          <w:rFonts w:cs="Arial"/>
          <w:sz w:val="26"/>
          <w:szCs w:val="26"/>
          <w:lang w:val="es-MX"/>
        </w:rPr>
        <w:t xml:space="preserve"> opera con independencia</w:t>
      </w:r>
      <w:r w:rsidR="00052FC4" w:rsidRPr="00A664F3">
        <w:rPr>
          <w:rFonts w:cs="Arial"/>
          <w:sz w:val="26"/>
          <w:szCs w:val="26"/>
          <w:lang w:val="es-MX"/>
        </w:rPr>
        <w:t xml:space="preserve"> de que a juicio del legislador las medidas sean benéficas </w:t>
      </w:r>
      <w:r w:rsidR="00E870BD" w:rsidRPr="00A664F3">
        <w:rPr>
          <w:rFonts w:cs="Arial"/>
          <w:sz w:val="26"/>
          <w:szCs w:val="26"/>
          <w:lang w:val="es-MX"/>
        </w:rPr>
        <w:t xml:space="preserve">para ese sector de la población. </w:t>
      </w:r>
      <w:r w:rsidRPr="00A664F3">
        <w:rPr>
          <w:rFonts w:cs="Arial"/>
          <w:sz w:val="26"/>
          <w:szCs w:val="26"/>
          <w:lang w:val="es-MX"/>
        </w:rPr>
        <w:t>L</w:t>
      </w:r>
      <w:r w:rsidR="00E870BD" w:rsidRPr="00A664F3">
        <w:rPr>
          <w:sz w:val="26"/>
          <w:szCs w:val="26"/>
        </w:rPr>
        <w:t xml:space="preserve">a razón que subyace a esta exigencia </w:t>
      </w:r>
      <w:r w:rsidR="000F67C4" w:rsidRPr="00A664F3">
        <w:rPr>
          <w:sz w:val="26"/>
          <w:szCs w:val="26"/>
        </w:rPr>
        <w:t>es</w:t>
      </w:r>
      <w:r w:rsidR="006D5980" w:rsidRPr="00A664F3">
        <w:rPr>
          <w:sz w:val="26"/>
          <w:szCs w:val="26"/>
        </w:rPr>
        <w:t xml:space="preserve"> que</w:t>
      </w:r>
      <w:r w:rsidR="000F67C4" w:rsidRPr="00A664F3">
        <w:rPr>
          <w:sz w:val="26"/>
          <w:szCs w:val="26"/>
        </w:rPr>
        <w:t xml:space="preserve"> el objetivo</w:t>
      </w:r>
      <w:r w:rsidR="00E870BD" w:rsidRPr="00A664F3">
        <w:rPr>
          <w:sz w:val="26"/>
          <w:szCs w:val="26"/>
        </w:rPr>
        <w:t xml:space="preserve"> </w:t>
      </w:r>
      <w:r w:rsidR="000F67C4" w:rsidRPr="00A664F3">
        <w:rPr>
          <w:sz w:val="26"/>
          <w:szCs w:val="26"/>
        </w:rPr>
        <w:t>de</w:t>
      </w:r>
      <w:r w:rsidR="00DB60A0" w:rsidRPr="00A664F3">
        <w:rPr>
          <w:sz w:val="26"/>
          <w:szCs w:val="26"/>
        </w:rPr>
        <w:t xml:space="preserve"> ese instrumento</w:t>
      </w:r>
      <w:r w:rsidR="000D09BD" w:rsidRPr="00A664F3">
        <w:rPr>
          <w:sz w:val="26"/>
          <w:szCs w:val="26"/>
        </w:rPr>
        <w:t xml:space="preserve"> internacional</w:t>
      </w:r>
      <w:r w:rsidR="00DB60A0" w:rsidRPr="00A664F3">
        <w:rPr>
          <w:sz w:val="26"/>
          <w:szCs w:val="26"/>
        </w:rPr>
        <w:t xml:space="preserve"> </w:t>
      </w:r>
      <w:r w:rsidR="006D5980" w:rsidRPr="00A664F3">
        <w:rPr>
          <w:sz w:val="26"/>
          <w:szCs w:val="26"/>
        </w:rPr>
        <w:t>es</w:t>
      </w:r>
      <w:r w:rsidR="00E870BD" w:rsidRPr="00A664F3">
        <w:rPr>
          <w:sz w:val="26"/>
          <w:szCs w:val="26"/>
        </w:rPr>
        <w:t xml:space="preserve"> </w:t>
      </w:r>
      <w:r w:rsidR="000F67C4" w:rsidRPr="00A664F3">
        <w:rPr>
          <w:sz w:val="26"/>
          <w:szCs w:val="26"/>
        </w:rPr>
        <w:t>superar</w:t>
      </w:r>
      <w:r w:rsidR="00E870BD" w:rsidRPr="00A664F3">
        <w:rPr>
          <w:sz w:val="26"/>
          <w:szCs w:val="26"/>
        </w:rPr>
        <w:t xml:space="preserve"> </w:t>
      </w:r>
      <w:r w:rsidR="000F67C4" w:rsidRPr="00A664F3">
        <w:rPr>
          <w:sz w:val="26"/>
          <w:szCs w:val="26"/>
        </w:rPr>
        <w:t>el</w:t>
      </w:r>
      <w:r w:rsidR="00E870BD" w:rsidRPr="00A664F3">
        <w:rPr>
          <w:sz w:val="26"/>
          <w:szCs w:val="26"/>
        </w:rPr>
        <w:t xml:space="preserve"> modelo rehabilitador </w:t>
      </w:r>
      <w:r w:rsidR="006B6890" w:rsidRPr="00A664F3">
        <w:rPr>
          <w:sz w:val="26"/>
          <w:szCs w:val="26"/>
        </w:rPr>
        <w:t xml:space="preserve">o asistencialista </w:t>
      </w:r>
      <w:r w:rsidR="00E870BD" w:rsidRPr="00A664F3">
        <w:rPr>
          <w:sz w:val="26"/>
          <w:szCs w:val="26"/>
        </w:rPr>
        <w:t xml:space="preserve">de la discapacidad —donde las personas con estas condiciones son sujetos pasivos de la ayuda que se les brinda— y, en cambio, </w:t>
      </w:r>
      <w:r w:rsidRPr="00A664F3">
        <w:rPr>
          <w:sz w:val="26"/>
          <w:szCs w:val="26"/>
        </w:rPr>
        <w:t>favore</w:t>
      </w:r>
      <w:r w:rsidR="000F67C4" w:rsidRPr="00A664F3">
        <w:rPr>
          <w:sz w:val="26"/>
          <w:szCs w:val="26"/>
        </w:rPr>
        <w:t>cer</w:t>
      </w:r>
      <w:r w:rsidRPr="00A664F3">
        <w:rPr>
          <w:sz w:val="26"/>
          <w:szCs w:val="26"/>
        </w:rPr>
        <w:t xml:space="preserve"> un modelo social</w:t>
      </w:r>
      <w:r w:rsidR="003A0341" w:rsidRPr="00A664F3">
        <w:rPr>
          <w:sz w:val="26"/>
          <w:szCs w:val="26"/>
        </w:rPr>
        <w:t xml:space="preserve"> de la discapacidad</w:t>
      </w:r>
      <w:r w:rsidR="00B14F3C" w:rsidRPr="00A664F3">
        <w:rPr>
          <w:sz w:val="26"/>
          <w:szCs w:val="26"/>
        </w:rPr>
        <w:t>.</w:t>
      </w:r>
      <w:r w:rsidR="00E870BD" w:rsidRPr="00A664F3">
        <w:rPr>
          <w:sz w:val="26"/>
          <w:szCs w:val="26"/>
        </w:rPr>
        <w:t xml:space="preserve"> </w:t>
      </w:r>
      <w:r w:rsidR="00B14F3C" w:rsidRPr="00A664F3">
        <w:rPr>
          <w:sz w:val="26"/>
          <w:szCs w:val="26"/>
        </w:rPr>
        <w:t>En éste</w:t>
      </w:r>
      <w:r w:rsidR="00E870BD" w:rsidRPr="00A664F3">
        <w:rPr>
          <w:sz w:val="26"/>
          <w:szCs w:val="26"/>
        </w:rPr>
        <w:t xml:space="preserve"> </w:t>
      </w:r>
      <w:r w:rsidR="0035721B" w:rsidRPr="00A664F3">
        <w:rPr>
          <w:sz w:val="26"/>
          <w:szCs w:val="26"/>
        </w:rPr>
        <w:t>se asume que</w:t>
      </w:r>
      <w:r w:rsidR="00E870BD" w:rsidRPr="00A664F3">
        <w:rPr>
          <w:sz w:val="26"/>
          <w:szCs w:val="26"/>
        </w:rPr>
        <w:t xml:space="preserve"> la causa de la discapacidad es el contexto que la genera, es decir, las deficiencias de la sociedad en la que estas personas se encuentran para generar servicios adecuados una vez consideradas las necesidades particulares de las personas con esta condición. </w:t>
      </w:r>
      <w:r w:rsidR="00B14F3C" w:rsidRPr="00A664F3">
        <w:rPr>
          <w:sz w:val="26"/>
          <w:szCs w:val="26"/>
        </w:rPr>
        <w:t>De este modo</w:t>
      </w:r>
      <w:r w:rsidR="00E870BD" w:rsidRPr="00A664F3">
        <w:rPr>
          <w:sz w:val="26"/>
          <w:szCs w:val="26"/>
        </w:rPr>
        <w:t xml:space="preserve">, </w:t>
      </w:r>
      <w:r w:rsidR="0035721B" w:rsidRPr="00A664F3">
        <w:rPr>
          <w:sz w:val="26"/>
          <w:szCs w:val="26"/>
        </w:rPr>
        <w:t>l</w:t>
      </w:r>
      <w:r w:rsidR="00E870BD" w:rsidRPr="00A664F3">
        <w:rPr>
          <w:sz w:val="26"/>
          <w:szCs w:val="26"/>
        </w:rPr>
        <w:t xml:space="preserve">a ausencia de consulta en </w:t>
      </w:r>
      <w:r w:rsidR="00E870BD" w:rsidRPr="00A664F3">
        <w:rPr>
          <w:sz w:val="26"/>
          <w:szCs w:val="26"/>
        </w:rPr>
        <w:lastRenderedPageBreak/>
        <w:t>cuestiones relacionadas con las personas con discapacidad</w:t>
      </w:r>
      <w:r w:rsidR="00C579A5" w:rsidRPr="00A664F3">
        <w:rPr>
          <w:sz w:val="26"/>
          <w:szCs w:val="26"/>
        </w:rPr>
        <w:t xml:space="preserve"> simplemente</w:t>
      </w:r>
      <w:r w:rsidR="00E870BD" w:rsidRPr="00A664F3">
        <w:rPr>
          <w:sz w:val="26"/>
          <w:szCs w:val="26"/>
        </w:rPr>
        <w:t xml:space="preserve"> </w:t>
      </w:r>
      <w:r w:rsidR="00456295" w:rsidRPr="00A664F3">
        <w:rPr>
          <w:sz w:val="26"/>
          <w:szCs w:val="26"/>
        </w:rPr>
        <w:t>por</w:t>
      </w:r>
      <w:r w:rsidR="00DB60A0" w:rsidRPr="00A664F3">
        <w:rPr>
          <w:sz w:val="26"/>
          <w:szCs w:val="26"/>
        </w:rPr>
        <w:t>que la autoridad presupon</w:t>
      </w:r>
      <w:r w:rsidR="00007629" w:rsidRPr="00A664F3">
        <w:rPr>
          <w:sz w:val="26"/>
          <w:szCs w:val="26"/>
        </w:rPr>
        <w:t>e</w:t>
      </w:r>
      <w:r w:rsidR="00456295" w:rsidRPr="00A664F3">
        <w:rPr>
          <w:sz w:val="26"/>
          <w:szCs w:val="26"/>
        </w:rPr>
        <w:t xml:space="preserve"> un beneficio para </w:t>
      </w:r>
      <w:r w:rsidR="000D09BD" w:rsidRPr="00A664F3">
        <w:rPr>
          <w:sz w:val="26"/>
          <w:szCs w:val="26"/>
        </w:rPr>
        <w:t>e</w:t>
      </w:r>
      <w:r w:rsidR="00456295" w:rsidRPr="00A664F3">
        <w:rPr>
          <w:sz w:val="26"/>
          <w:szCs w:val="26"/>
        </w:rPr>
        <w:t xml:space="preserve">llas </w:t>
      </w:r>
      <w:r w:rsidR="00E870BD" w:rsidRPr="00A664F3">
        <w:rPr>
          <w:sz w:val="26"/>
          <w:szCs w:val="26"/>
        </w:rPr>
        <w:t>significaría no considerarlas en la definición de sus propias necesidades, volviendo a</w:t>
      </w:r>
      <w:r w:rsidR="00414FD6" w:rsidRPr="00A664F3">
        <w:rPr>
          <w:sz w:val="26"/>
          <w:szCs w:val="26"/>
        </w:rPr>
        <w:t>l</w:t>
      </w:r>
      <w:r w:rsidR="00E870BD" w:rsidRPr="00A664F3">
        <w:rPr>
          <w:sz w:val="26"/>
          <w:szCs w:val="26"/>
        </w:rPr>
        <w:t xml:space="preserve"> modelo rehabilitador o asistencialista</w:t>
      </w:r>
      <w:r w:rsidR="00414FD6" w:rsidRPr="00A664F3">
        <w:rPr>
          <w:sz w:val="26"/>
          <w:szCs w:val="26"/>
        </w:rPr>
        <w:t xml:space="preserve"> que se </w:t>
      </w:r>
      <w:r w:rsidR="00BE25B9" w:rsidRPr="00A664F3">
        <w:rPr>
          <w:sz w:val="26"/>
          <w:szCs w:val="26"/>
        </w:rPr>
        <w:t>busca</w:t>
      </w:r>
      <w:r w:rsidR="00414FD6" w:rsidRPr="00A664F3">
        <w:rPr>
          <w:sz w:val="26"/>
          <w:szCs w:val="26"/>
        </w:rPr>
        <w:t xml:space="preserve"> superar</w:t>
      </w:r>
      <w:r w:rsidR="006D5980" w:rsidRPr="00A664F3">
        <w:rPr>
          <w:sz w:val="26"/>
          <w:szCs w:val="26"/>
        </w:rPr>
        <w:t xml:space="preserve"> con la Convención</w:t>
      </w:r>
      <w:r w:rsidR="00E870BD" w:rsidRPr="00A664F3">
        <w:rPr>
          <w:rStyle w:val="Refdenotaalpie"/>
          <w:rFonts w:cs="Arial"/>
          <w:sz w:val="26"/>
          <w:szCs w:val="26"/>
        </w:rPr>
        <w:footnoteReference w:id="92"/>
      </w:r>
      <w:r w:rsidR="00E870BD" w:rsidRPr="00A664F3">
        <w:rPr>
          <w:sz w:val="26"/>
          <w:szCs w:val="26"/>
        </w:rPr>
        <w:t>.</w:t>
      </w:r>
    </w:p>
    <w:p w:rsidR="002C6C30" w:rsidRPr="00A664F3" w:rsidRDefault="008728DE" w:rsidP="00246605">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Pues bien, d</w:t>
      </w:r>
      <w:r w:rsidR="00B85DC9" w:rsidRPr="00A664F3">
        <w:rPr>
          <w:rFonts w:cs="Arial"/>
          <w:sz w:val="26"/>
          <w:szCs w:val="26"/>
          <w:lang w:val="es-MX"/>
        </w:rPr>
        <w:t>el</w:t>
      </w:r>
      <w:r w:rsidR="003E6D6D" w:rsidRPr="00A664F3">
        <w:rPr>
          <w:rFonts w:cs="Arial"/>
          <w:sz w:val="26"/>
          <w:szCs w:val="26"/>
          <w:lang w:val="es-MX"/>
        </w:rPr>
        <w:t xml:space="preserve"> análisis del</w:t>
      </w:r>
      <w:r w:rsidR="00B85DC9" w:rsidRPr="00A664F3">
        <w:rPr>
          <w:rFonts w:cs="Arial"/>
          <w:sz w:val="26"/>
          <w:szCs w:val="26"/>
          <w:lang w:val="es-MX"/>
        </w:rPr>
        <w:t xml:space="preserve"> contenido del decreto impugnado</w:t>
      </w:r>
      <w:r w:rsidR="003E6D6D" w:rsidRPr="00A664F3">
        <w:rPr>
          <w:rFonts w:cs="Arial"/>
          <w:sz w:val="26"/>
          <w:szCs w:val="26"/>
          <w:lang w:val="es-MX"/>
        </w:rPr>
        <w:t xml:space="preserve"> se desprende claramente que</w:t>
      </w:r>
      <w:r w:rsidR="000F5020" w:rsidRPr="00A664F3">
        <w:rPr>
          <w:rFonts w:cs="Arial"/>
          <w:sz w:val="26"/>
          <w:szCs w:val="26"/>
          <w:lang w:val="es-MX"/>
        </w:rPr>
        <w:t xml:space="preserve"> el instrumento</w:t>
      </w:r>
      <w:r w:rsidR="00B85DC9" w:rsidRPr="00A664F3">
        <w:rPr>
          <w:rFonts w:cs="Arial"/>
          <w:sz w:val="26"/>
          <w:szCs w:val="26"/>
          <w:lang w:val="es-MX"/>
        </w:rPr>
        <w:t xml:space="preserve"> </w:t>
      </w:r>
      <w:r w:rsidR="00B4536D" w:rsidRPr="00A664F3">
        <w:rPr>
          <w:rFonts w:cs="Arial"/>
          <w:sz w:val="26"/>
          <w:szCs w:val="26"/>
          <w:lang w:val="es-MX"/>
        </w:rPr>
        <w:t xml:space="preserve">legislativo </w:t>
      </w:r>
      <w:r w:rsidR="00B85DC9" w:rsidRPr="00A664F3">
        <w:rPr>
          <w:rFonts w:cs="Arial"/>
          <w:sz w:val="26"/>
          <w:szCs w:val="26"/>
          <w:lang w:val="es-MX"/>
        </w:rPr>
        <w:t xml:space="preserve">incide </w:t>
      </w:r>
      <w:r w:rsidR="003E6D6D" w:rsidRPr="00A664F3">
        <w:rPr>
          <w:rFonts w:cs="Arial"/>
          <w:sz w:val="26"/>
          <w:szCs w:val="26"/>
          <w:lang w:val="es-MX"/>
        </w:rPr>
        <w:t>de manera directa</w:t>
      </w:r>
      <w:r w:rsidR="005622B0" w:rsidRPr="00A664F3">
        <w:rPr>
          <w:rFonts w:cs="Arial"/>
          <w:sz w:val="26"/>
          <w:szCs w:val="26"/>
          <w:lang w:val="es-MX"/>
        </w:rPr>
        <w:t xml:space="preserve"> en el derecho</w:t>
      </w:r>
      <w:r w:rsidR="00B85DC9" w:rsidRPr="00A664F3">
        <w:rPr>
          <w:rFonts w:cs="Arial"/>
          <w:sz w:val="26"/>
          <w:szCs w:val="26"/>
          <w:lang w:val="es-MX"/>
        </w:rPr>
        <w:t xml:space="preserve"> de acceso a la justicia de las personas con discapacidad.</w:t>
      </w:r>
      <w:r w:rsidR="009475E2" w:rsidRPr="00A664F3">
        <w:rPr>
          <w:rFonts w:cs="Arial"/>
          <w:sz w:val="26"/>
          <w:szCs w:val="26"/>
          <w:lang w:val="es-MX"/>
        </w:rPr>
        <w:t xml:space="preserve"> Como ya se refirió en la sección anterior (</w:t>
      </w:r>
      <w:r w:rsidR="009475E2" w:rsidRPr="00A664F3">
        <w:rPr>
          <w:rFonts w:cs="Arial"/>
          <w:i/>
          <w:sz w:val="26"/>
          <w:szCs w:val="26"/>
          <w:lang w:val="es-MX"/>
        </w:rPr>
        <w:t>supra</w:t>
      </w:r>
      <w:r w:rsidR="009475E2" w:rsidRPr="00A664F3">
        <w:rPr>
          <w:rFonts w:cs="Arial"/>
          <w:sz w:val="26"/>
          <w:szCs w:val="26"/>
          <w:lang w:val="es-MX"/>
        </w:rPr>
        <w:t xml:space="preserve"> párr. </w:t>
      </w:r>
      <w:r w:rsidR="00924637" w:rsidRPr="00A664F3">
        <w:rPr>
          <w:rFonts w:cs="Arial"/>
          <w:sz w:val="26"/>
          <w:szCs w:val="26"/>
          <w:lang w:val="es-MX"/>
        </w:rPr>
        <w:t xml:space="preserve">20. </w:t>
      </w:r>
      <w:r w:rsidR="00924637" w:rsidRPr="00A664F3">
        <w:rPr>
          <w:rFonts w:cs="Arial"/>
          <w:b/>
          <w:sz w:val="26"/>
          <w:szCs w:val="26"/>
          <w:lang w:val="es-MX"/>
        </w:rPr>
        <w:t>C</w:t>
      </w:r>
      <w:r w:rsidR="009475E2" w:rsidRPr="00A664F3">
        <w:rPr>
          <w:rFonts w:cs="Arial"/>
          <w:sz w:val="26"/>
          <w:szCs w:val="26"/>
          <w:lang w:val="es-MX"/>
        </w:rPr>
        <w:t xml:space="preserve">) y a fin de evitar repeticiones innecesarias se tiene </w:t>
      </w:r>
      <w:r w:rsidR="00924637" w:rsidRPr="00A664F3">
        <w:rPr>
          <w:rFonts w:cs="Arial"/>
          <w:sz w:val="26"/>
          <w:szCs w:val="26"/>
          <w:lang w:val="es-MX"/>
        </w:rPr>
        <w:t xml:space="preserve">aquí </w:t>
      </w:r>
      <w:r w:rsidR="009475E2" w:rsidRPr="00A664F3">
        <w:rPr>
          <w:rFonts w:cs="Arial"/>
          <w:sz w:val="26"/>
          <w:szCs w:val="26"/>
          <w:lang w:val="es-MX"/>
        </w:rPr>
        <w:t xml:space="preserve">por reproducido, </w:t>
      </w:r>
      <w:r w:rsidR="00864C95" w:rsidRPr="00A664F3">
        <w:rPr>
          <w:rFonts w:cs="Arial"/>
          <w:sz w:val="26"/>
          <w:szCs w:val="26"/>
        </w:rPr>
        <w:t>el Decreto N° LXVI/RFLEY/0665/2020 III P.E.</w:t>
      </w:r>
      <w:r w:rsidR="009475E2" w:rsidRPr="00A664F3">
        <w:rPr>
          <w:rFonts w:cs="Arial"/>
          <w:sz w:val="26"/>
          <w:szCs w:val="26"/>
          <w:lang w:val="es-MX"/>
        </w:rPr>
        <w:t xml:space="preserve"> </w:t>
      </w:r>
      <w:r w:rsidR="00864C95" w:rsidRPr="00A664F3">
        <w:rPr>
          <w:rFonts w:cs="Arial"/>
          <w:sz w:val="26"/>
          <w:szCs w:val="26"/>
        </w:rPr>
        <w:t>adicionó los artículos 177 Bis, 177 Ter y 177 Quáter</w:t>
      </w:r>
      <w:r w:rsidR="00C63132" w:rsidRPr="00A664F3">
        <w:rPr>
          <w:rFonts w:cs="Arial"/>
          <w:sz w:val="26"/>
          <w:szCs w:val="26"/>
        </w:rPr>
        <w:t xml:space="preserve"> a la nueva Ley Orgánica del Poder Judicial del Estado de Chihuahua</w:t>
      </w:r>
      <w:r w:rsidR="00864C95" w:rsidRPr="00A664F3">
        <w:rPr>
          <w:rStyle w:val="Refdenotaalpie"/>
          <w:rFonts w:cs="Arial"/>
          <w:sz w:val="26"/>
          <w:szCs w:val="26"/>
        </w:rPr>
        <w:footnoteReference w:id="93"/>
      </w:r>
      <w:r w:rsidR="00C63132" w:rsidRPr="00A664F3">
        <w:rPr>
          <w:rFonts w:cs="Arial"/>
          <w:sz w:val="26"/>
          <w:szCs w:val="26"/>
        </w:rPr>
        <w:t>.</w:t>
      </w:r>
      <w:r w:rsidR="00240196" w:rsidRPr="00A664F3">
        <w:rPr>
          <w:rFonts w:cs="Arial"/>
          <w:sz w:val="26"/>
          <w:szCs w:val="26"/>
        </w:rPr>
        <w:t xml:space="preserve"> A</w:t>
      </w:r>
      <w:r w:rsidR="0076423F" w:rsidRPr="00A664F3">
        <w:rPr>
          <w:rFonts w:cs="Arial"/>
          <w:sz w:val="26"/>
          <w:szCs w:val="26"/>
        </w:rPr>
        <w:t xml:space="preserve"> través de aquél</w:t>
      </w:r>
      <w:r w:rsidR="00C63132" w:rsidRPr="00A664F3">
        <w:rPr>
          <w:rFonts w:cs="Arial"/>
          <w:sz w:val="26"/>
          <w:szCs w:val="26"/>
        </w:rPr>
        <w:t xml:space="preserve"> se</w:t>
      </w:r>
      <w:r w:rsidR="00C571E3" w:rsidRPr="00A664F3">
        <w:rPr>
          <w:rFonts w:cs="Arial"/>
          <w:sz w:val="26"/>
          <w:szCs w:val="26"/>
        </w:rPr>
        <w:t xml:space="preserve"> </w:t>
      </w:r>
      <w:r w:rsidR="00864C95" w:rsidRPr="00A664F3">
        <w:rPr>
          <w:rFonts w:cs="Arial"/>
          <w:sz w:val="26"/>
          <w:szCs w:val="26"/>
        </w:rPr>
        <w:t>establece un “</w:t>
      </w:r>
      <w:r w:rsidR="00864C95" w:rsidRPr="00A664F3">
        <w:rPr>
          <w:rFonts w:cs="Arial"/>
          <w:i/>
          <w:sz w:val="26"/>
          <w:szCs w:val="26"/>
        </w:rPr>
        <w:t>Centro de Personas Traductoras e Intérpretes</w:t>
      </w:r>
      <w:r w:rsidR="00864C95" w:rsidRPr="00A664F3">
        <w:rPr>
          <w:rFonts w:cs="Arial"/>
          <w:sz w:val="26"/>
          <w:szCs w:val="26"/>
        </w:rPr>
        <w:t xml:space="preserve">” como órgano auxiliar del Poder Judicial, con autonomía técnica y operativa para el cumplimiento de sus funciones y el desarrollo de sus actividades sustantivas. </w:t>
      </w:r>
    </w:p>
    <w:p w:rsidR="00B85DC9" w:rsidRPr="00A664F3" w:rsidRDefault="004A3A84" w:rsidP="00CE5547">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rPr>
        <w:t xml:space="preserve">Las </w:t>
      </w:r>
      <w:r w:rsidR="0089706F" w:rsidRPr="00A664F3">
        <w:rPr>
          <w:rFonts w:cs="Arial"/>
          <w:sz w:val="26"/>
          <w:szCs w:val="26"/>
        </w:rPr>
        <w:t>implicaciones del decreto</w:t>
      </w:r>
      <w:r w:rsidRPr="00A664F3">
        <w:rPr>
          <w:rFonts w:cs="Arial"/>
          <w:sz w:val="26"/>
          <w:szCs w:val="26"/>
        </w:rPr>
        <w:t xml:space="preserve"> </w:t>
      </w:r>
      <w:r w:rsidR="001D4E3A" w:rsidRPr="00A664F3">
        <w:rPr>
          <w:rFonts w:cs="Arial"/>
          <w:sz w:val="26"/>
          <w:szCs w:val="26"/>
        </w:rPr>
        <w:t xml:space="preserve">impugnado </w:t>
      </w:r>
      <w:r w:rsidR="0089706F" w:rsidRPr="00A664F3">
        <w:rPr>
          <w:rFonts w:cs="Arial"/>
          <w:sz w:val="26"/>
          <w:szCs w:val="26"/>
        </w:rPr>
        <w:t>par</w:t>
      </w:r>
      <w:r w:rsidRPr="00A664F3">
        <w:rPr>
          <w:rFonts w:cs="Arial"/>
          <w:sz w:val="26"/>
          <w:szCs w:val="26"/>
        </w:rPr>
        <w:t>a</w:t>
      </w:r>
      <w:r w:rsidR="0089706F" w:rsidRPr="00A664F3">
        <w:rPr>
          <w:rFonts w:cs="Arial"/>
          <w:sz w:val="26"/>
          <w:szCs w:val="26"/>
        </w:rPr>
        <w:t xml:space="preserve"> el derecho de acceso a la justicia de</w:t>
      </w:r>
      <w:r w:rsidRPr="00A664F3">
        <w:rPr>
          <w:rFonts w:cs="Arial"/>
          <w:sz w:val="26"/>
          <w:szCs w:val="26"/>
        </w:rPr>
        <w:t xml:space="preserve"> las personas con discapacidad </w:t>
      </w:r>
      <w:r w:rsidR="001D4E3A" w:rsidRPr="00A664F3">
        <w:rPr>
          <w:rFonts w:cs="Arial"/>
          <w:sz w:val="26"/>
          <w:szCs w:val="26"/>
        </w:rPr>
        <w:t>son</w:t>
      </w:r>
      <w:r w:rsidRPr="00A664F3">
        <w:rPr>
          <w:rFonts w:cs="Arial"/>
          <w:sz w:val="26"/>
          <w:szCs w:val="26"/>
        </w:rPr>
        <w:t xml:space="preserve"> </w:t>
      </w:r>
      <w:r w:rsidR="001D4E3A" w:rsidRPr="00A664F3">
        <w:rPr>
          <w:rFonts w:cs="Arial"/>
          <w:sz w:val="26"/>
          <w:szCs w:val="26"/>
        </w:rPr>
        <w:t>evidentes</w:t>
      </w:r>
      <w:r w:rsidRPr="00A664F3">
        <w:rPr>
          <w:rFonts w:cs="Arial"/>
          <w:sz w:val="26"/>
          <w:szCs w:val="26"/>
        </w:rPr>
        <w:t>. P</w:t>
      </w:r>
      <w:r w:rsidR="009965EF" w:rsidRPr="00A664F3">
        <w:rPr>
          <w:rFonts w:cs="Arial"/>
          <w:sz w:val="26"/>
          <w:szCs w:val="26"/>
        </w:rPr>
        <w:t>or una parte</w:t>
      </w:r>
      <w:r w:rsidRPr="00A664F3">
        <w:rPr>
          <w:rFonts w:cs="Arial"/>
          <w:sz w:val="26"/>
          <w:szCs w:val="26"/>
        </w:rPr>
        <w:t>,</w:t>
      </w:r>
      <w:r w:rsidR="00DB0DD3" w:rsidRPr="00A664F3">
        <w:rPr>
          <w:rFonts w:cs="Arial"/>
          <w:sz w:val="26"/>
          <w:szCs w:val="26"/>
        </w:rPr>
        <w:t xml:space="preserve"> </w:t>
      </w:r>
      <w:r w:rsidR="0089706F" w:rsidRPr="00A664F3">
        <w:rPr>
          <w:rFonts w:cs="Arial"/>
          <w:sz w:val="26"/>
          <w:szCs w:val="26"/>
        </w:rPr>
        <w:t>se</w:t>
      </w:r>
      <w:r w:rsidR="00240196" w:rsidRPr="00A664F3">
        <w:rPr>
          <w:rFonts w:cs="Arial"/>
          <w:sz w:val="26"/>
          <w:szCs w:val="26"/>
        </w:rPr>
        <w:t xml:space="preserve"> dispone </w:t>
      </w:r>
      <w:r w:rsidR="00A55054" w:rsidRPr="00A664F3">
        <w:rPr>
          <w:rFonts w:cs="Arial"/>
          <w:sz w:val="26"/>
          <w:szCs w:val="26"/>
        </w:rPr>
        <w:t xml:space="preserve">expresamente </w:t>
      </w:r>
      <w:r w:rsidR="00240196" w:rsidRPr="00A664F3">
        <w:rPr>
          <w:rFonts w:cs="Arial"/>
          <w:sz w:val="26"/>
          <w:szCs w:val="26"/>
        </w:rPr>
        <w:t>que el</w:t>
      </w:r>
      <w:r w:rsidR="00864C95" w:rsidRPr="00A664F3">
        <w:rPr>
          <w:rFonts w:cs="Arial"/>
          <w:sz w:val="26"/>
          <w:szCs w:val="26"/>
        </w:rPr>
        <w:t xml:space="preserve"> objetivo del Centro es proveer lo necesario en materia de traducción e interpretación, a fin de que las instituciones de procuración, impartición y administración de justicia </w:t>
      </w:r>
      <w:r w:rsidR="00A55054" w:rsidRPr="00A664F3">
        <w:rPr>
          <w:rFonts w:cs="Arial"/>
          <w:sz w:val="26"/>
          <w:szCs w:val="26"/>
        </w:rPr>
        <w:t>“</w:t>
      </w:r>
      <w:r w:rsidR="00864C95" w:rsidRPr="00A664F3">
        <w:rPr>
          <w:rFonts w:cs="Arial"/>
          <w:i/>
          <w:sz w:val="26"/>
          <w:szCs w:val="26"/>
          <w:u w:val="single"/>
        </w:rPr>
        <w:t>puedan garantizar el derecho de acceso a la justicia a personas con discapacidad, particularmente visual, auditiva o del habla</w:t>
      </w:r>
      <w:r w:rsidR="00A55054" w:rsidRPr="00A664F3">
        <w:rPr>
          <w:rFonts w:cs="Arial"/>
          <w:sz w:val="26"/>
          <w:szCs w:val="26"/>
        </w:rPr>
        <w:t>”</w:t>
      </w:r>
      <w:r w:rsidR="003A4477" w:rsidRPr="00A664F3">
        <w:rPr>
          <w:rStyle w:val="Refdenotaalpie"/>
          <w:rFonts w:cs="Arial"/>
          <w:sz w:val="26"/>
          <w:szCs w:val="26"/>
        </w:rPr>
        <w:footnoteReference w:id="94"/>
      </w:r>
      <w:r w:rsidR="00864C95" w:rsidRPr="00A664F3">
        <w:rPr>
          <w:rFonts w:cs="Arial"/>
          <w:sz w:val="26"/>
          <w:szCs w:val="26"/>
        </w:rPr>
        <w:t>, y que para tal efecto contará con personal especializ</w:t>
      </w:r>
      <w:r w:rsidR="00CF6498" w:rsidRPr="00A664F3">
        <w:rPr>
          <w:rFonts w:cs="Arial"/>
          <w:sz w:val="26"/>
          <w:szCs w:val="26"/>
        </w:rPr>
        <w:t>ado</w:t>
      </w:r>
      <w:r w:rsidR="00922A99" w:rsidRPr="00A664F3">
        <w:rPr>
          <w:rFonts w:cs="Arial"/>
          <w:sz w:val="26"/>
          <w:szCs w:val="26"/>
        </w:rPr>
        <w:t>, entre otras,</w:t>
      </w:r>
      <w:r w:rsidR="00CF6498" w:rsidRPr="00A664F3">
        <w:rPr>
          <w:rFonts w:cs="Arial"/>
          <w:sz w:val="26"/>
          <w:szCs w:val="26"/>
        </w:rPr>
        <w:t xml:space="preserve"> en Lengua de Señas Mexicana</w:t>
      </w:r>
      <w:r w:rsidR="00922A99" w:rsidRPr="00A664F3">
        <w:rPr>
          <w:rFonts w:cs="Arial"/>
          <w:sz w:val="26"/>
          <w:szCs w:val="26"/>
        </w:rPr>
        <w:t>,</w:t>
      </w:r>
      <w:r w:rsidR="00864C95" w:rsidRPr="00A664F3">
        <w:rPr>
          <w:rFonts w:cs="Arial"/>
          <w:sz w:val="26"/>
          <w:szCs w:val="26"/>
        </w:rPr>
        <w:t xml:space="preserve"> en la emisión de documentos en Sistema de Escritura Braille y demás ayudas técnicas y humanas necesarias para la </w:t>
      </w:r>
      <w:r w:rsidR="00075460" w:rsidRPr="00A664F3">
        <w:rPr>
          <w:rFonts w:cs="Arial"/>
          <w:sz w:val="26"/>
          <w:szCs w:val="26"/>
        </w:rPr>
        <w:t>comunic</w:t>
      </w:r>
      <w:r w:rsidR="00864C95" w:rsidRPr="00A664F3">
        <w:rPr>
          <w:rFonts w:cs="Arial"/>
          <w:sz w:val="26"/>
          <w:szCs w:val="26"/>
        </w:rPr>
        <w:t xml:space="preserve">ación (art. 177 Bis, párr. segundo). </w:t>
      </w:r>
      <w:r w:rsidR="009965EF" w:rsidRPr="00A664F3">
        <w:rPr>
          <w:rFonts w:cs="Arial"/>
          <w:sz w:val="26"/>
          <w:szCs w:val="26"/>
        </w:rPr>
        <w:t>Por otra parte,</w:t>
      </w:r>
      <w:r w:rsidR="00864C95" w:rsidRPr="00A664F3">
        <w:rPr>
          <w:rFonts w:cs="Arial"/>
          <w:sz w:val="26"/>
          <w:szCs w:val="26"/>
        </w:rPr>
        <w:t xml:space="preserve"> </w:t>
      </w:r>
      <w:r w:rsidR="00491371" w:rsidRPr="00A664F3">
        <w:rPr>
          <w:rFonts w:cs="Arial"/>
          <w:sz w:val="26"/>
          <w:szCs w:val="26"/>
        </w:rPr>
        <w:t xml:space="preserve">se </w:t>
      </w:r>
      <w:r w:rsidR="00864C95" w:rsidRPr="00A664F3">
        <w:rPr>
          <w:rFonts w:cs="Arial"/>
          <w:sz w:val="26"/>
          <w:szCs w:val="26"/>
        </w:rPr>
        <w:t>prevé que el Centro apoyará a los poderes estatales y demás autoridades de la entidad federativa a fin de que los actos cuya emisión tenga consecuencias jurídicas</w:t>
      </w:r>
      <w:r w:rsidR="00B96C00" w:rsidRPr="00A664F3">
        <w:rPr>
          <w:rFonts w:cs="Arial"/>
          <w:sz w:val="26"/>
          <w:szCs w:val="26"/>
        </w:rPr>
        <w:t xml:space="preserve"> para</w:t>
      </w:r>
      <w:r w:rsidR="00855B4F" w:rsidRPr="00A664F3">
        <w:rPr>
          <w:rFonts w:cs="Arial"/>
          <w:sz w:val="26"/>
          <w:szCs w:val="26"/>
        </w:rPr>
        <w:t>, entre ot</w:t>
      </w:r>
      <w:r w:rsidR="008E7E22" w:rsidRPr="00A664F3">
        <w:rPr>
          <w:rFonts w:cs="Arial"/>
          <w:sz w:val="26"/>
          <w:szCs w:val="26"/>
        </w:rPr>
        <w:t>ros grupos</w:t>
      </w:r>
      <w:r w:rsidR="00855B4F" w:rsidRPr="00A664F3">
        <w:rPr>
          <w:rFonts w:cs="Arial"/>
          <w:sz w:val="26"/>
          <w:szCs w:val="26"/>
        </w:rPr>
        <w:t>,</w:t>
      </w:r>
      <w:r w:rsidR="00864C95" w:rsidRPr="00A664F3">
        <w:rPr>
          <w:rFonts w:cs="Arial"/>
          <w:sz w:val="26"/>
          <w:szCs w:val="26"/>
        </w:rPr>
        <w:t xml:space="preserve"> las </w:t>
      </w:r>
      <w:r w:rsidR="00864C95" w:rsidRPr="00A664F3">
        <w:rPr>
          <w:rFonts w:cs="Arial"/>
          <w:sz w:val="26"/>
          <w:szCs w:val="26"/>
        </w:rPr>
        <w:lastRenderedPageBreak/>
        <w:t>personas con discapacidad visual, auditiva o del habla, se desarrollen con la asistencia de personas traductoras o intérpretes debidamente certificadas (art. 177 Bis, párr. tercero</w:t>
      </w:r>
      <w:r w:rsidRPr="00A664F3">
        <w:rPr>
          <w:rFonts w:cs="Arial"/>
          <w:sz w:val="26"/>
          <w:szCs w:val="26"/>
        </w:rPr>
        <w:t>)</w:t>
      </w:r>
      <w:r w:rsidR="00864C95" w:rsidRPr="00A664F3">
        <w:rPr>
          <w:rFonts w:cs="Arial"/>
          <w:sz w:val="26"/>
          <w:szCs w:val="26"/>
        </w:rPr>
        <w:t>.</w:t>
      </w:r>
      <w:r w:rsidR="00CE5547" w:rsidRPr="00A664F3">
        <w:rPr>
          <w:rFonts w:cs="Arial"/>
          <w:sz w:val="26"/>
          <w:szCs w:val="26"/>
          <w:lang w:val="es-MX"/>
        </w:rPr>
        <w:t xml:space="preserve"> </w:t>
      </w:r>
      <w:r w:rsidR="003E6D6D" w:rsidRPr="00A664F3">
        <w:rPr>
          <w:rFonts w:cs="Arial"/>
          <w:sz w:val="26"/>
          <w:szCs w:val="26"/>
          <w:lang w:val="es-MX"/>
        </w:rPr>
        <w:t>Es indudable</w:t>
      </w:r>
      <w:r w:rsidR="00B85DC9" w:rsidRPr="00A664F3">
        <w:rPr>
          <w:rFonts w:cs="Arial"/>
          <w:sz w:val="26"/>
          <w:szCs w:val="26"/>
          <w:lang w:val="es-MX"/>
        </w:rPr>
        <w:t>,</w:t>
      </w:r>
      <w:r w:rsidR="003E6D6D" w:rsidRPr="00A664F3">
        <w:rPr>
          <w:rFonts w:cs="Arial"/>
          <w:sz w:val="26"/>
          <w:szCs w:val="26"/>
          <w:lang w:val="es-MX"/>
        </w:rPr>
        <w:t xml:space="preserve"> por lo tanto, que</w:t>
      </w:r>
      <w:r w:rsidR="00B85DC9" w:rsidRPr="00A664F3">
        <w:rPr>
          <w:rFonts w:cs="Arial"/>
          <w:sz w:val="26"/>
          <w:szCs w:val="26"/>
          <w:lang w:val="es-MX"/>
        </w:rPr>
        <w:t xml:space="preserve"> el decreto impugnado </w:t>
      </w:r>
      <w:r w:rsidR="006F2F54" w:rsidRPr="00A664F3">
        <w:rPr>
          <w:rFonts w:cs="Arial"/>
          <w:sz w:val="26"/>
          <w:szCs w:val="26"/>
          <w:lang w:val="es-MX"/>
        </w:rPr>
        <w:t xml:space="preserve">actualiza el supuesto previsto en el artículo 4.3 de la Convención y </w:t>
      </w:r>
      <w:r w:rsidR="00B85DC9" w:rsidRPr="00A664F3">
        <w:rPr>
          <w:rFonts w:cs="Arial"/>
          <w:sz w:val="26"/>
          <w:szCs w:val="26"/>
          <w:lang w:val="es-MX"/>
        </w:rPr>
        <w:t>debió haber sido consultado con las personas con discapacidad</w:t>
      </w:r>
      <w:r w:rsidR="00144D6B" w:rsidRPr="00A664F3">
        <w:rPr>
          <w:rFonts w:cs="Arial"/>
          <w:sz w:val="26"/>
          <w:szCs w:val="26"/>
          <w:lang w:val="es-MX"/>
        </w:rPr>
        <w:t xml:space="preserve"> </w:t>
      </w:r>
      <w:r w:rsidR="006F2F54" w:rsidRPr="00A664F3">
        <w:rPr>
          <w:rFonts w:cs="Arial"/>
          <w:sz w:val="26"/>
          <w:szCs w:val="26"/>
          <w:lang w:val="es-MX"/>
        </w:rPr>
        <w:t xml:space="preserve">en la entidad federativa </w:t>
      </w:r>
      <w:r w:rsidR="00144D6B" w:rsidRPr="00A664F3">
        <w:rPr>
          <w:rFonts w:cs="Arial"/>
          <w:sz w:val="26"/>
          <w:szCs w:val="26"/>
          <w:lang w:val="es-MX"/>
        </w:rPr>
        <w:t>a través de las organizaciones que las representan</w:t>
      </w:r>
      <w:r w:rsidR="00B85DC9" w:rsidRPr="00A664F3">
        <w:rPr>
          <w:rFonts w:cs="Arial"/>
          <w:sz w:val="26"/>
          <w:szCs w:val="26"/>
          <w:lang w:val="es-MX"/>
        </w:rPr>
        <w:t>.</w:t>
      </w:r>
    </w:p>
    <w:p w:rsidR="002B425B" w:rsidRPr="00A664F3" w:rsidRDefault="000A6C2C" w:rsidP="005D5EEC">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 xml:space="preserve">Ante la verificación de que la expedición del </w:t>
      </w:r>
      <w:r w:rsidRPr="00A664F3">
        <w:rPr>
          <w:rFonts w:cs="Arial"/>
          <w:sz w:val="26"/>
          <w:szCs w:val="26"/>
        </w:rPr>
        <w:t xml:space="preserve">Decreto N° LXVI/RFLEY/0665/2020 III P.E. representa una decisión que </w:t>
      </w:r>
      <w:r w:rsidRPr="00A664F3">
        <w:rPr>
          <w:rFonts w:cs="Arial"/>
          <w:sz w:val="26"/>
          <w:szCs w:val="26"/>
          <w:lang w:val="es-MX"/>
        </w:rPr>
        <w:t>versa sobre cuestiones relacionadas con las personas con discapacidad,</w:t>
      </w:r>
      <w:r w:rsidR="00B85DC9" w:rsidRPr="00A664F3">
        <w:rPr>
          <w:rFonts w:cs="Arial"/>
          <w:sz w:val="26"/>
          <w:szCs w:val="26"/>
          <w:lang w:val="es-MX"/>
        </w:rPr>
        <w:t xml:space="preserve"> la Suprema Corte </w:t>
      </w:r>
      <w:r w:rsidR="004E6018" w:rsidRPr="00A664F3">
        <w:rPr>
          <w:rFonts w:cs="Arial"/>
          <w:sz w:val="26"/>
          <w:szCs w:val="26"/>
          <w:lang w:val="es-MX"/>
        </w:rPr>
        <w:t>considera</w:t>
      </w:r>
      <w:r w:rsidR="00B85DC9" w:rsidRPr="00A664F3">
        <w:rPr>
          <w:rFonts w:cs="Arial"/>
          <w:sz w:val="26"/>
          <w:szCs w:val="26"/>
          <w:lang w:val="es-MX"/>
        </w:rPr>
        <w:t xml:space="preserve"> que también es </w:t>
      </w:r>
      <w:r w:rsidR="00B85DC9" w:rsidRPr="00A664F3">
        <w:rPr>
          <w:rFonts w:cs="Arial"/>
          <w:b/>
          <w:sz w:val="26"/>
          <w:szCs w:val="26"/>
          <w:lang w:val="es-MX"/>
        </w:rPr>
        <w:t>sustancialmente fundado</w:t>
      </w:r>
      <w:r w:rsidR="00B85DC9" w:rsidRPr="00A664F3">
        <w:rPr>
          <w:rFonts w:cs="Arial"/>
          <w:sz w:val="26"/>
          <w:szCs w:val="26"/>
          <w:lang w:val="es-MX"/>
        </w:rPr>
        <w:t xml:space="preserve"> el concepto de violación</w:t>
      </w:r>
      <w:r w:rsidR="003E6D6D" w:rsidRPr="00A664F3">
        <w:rPr>
          <w:rFonts w:cs="Arial"/>
          <w:sz w:val="26"/>
          <w:szCs w:val="26"/>
          <w:lang w:val="es-MX"/>
        </w:rPr>
        <w:t xml:space="preserve"> </w:t>
      </w:r>
      <w:r w:rsidR="00B85DC9" w:rsidRPr="00A664F3">
        <w:rPr>
          <w:rFonts w:cs="Arial"/>
          <w:sz w:val="26"/>
          <w:szCs w:val="26"/>
          <w:lang w:val="es-MX"/>
        </w:rPr>
        <w:t xml:space="preserve">relativo a que </w:t>
      </w:r>
      <w:r w:rsidR="003E6D6D" w:rsidRPr="00A664F3">
        <w:rPr>
          <w:rFonts w:cs="Arial"/>
          <w:sz w:val="26"/>
          <w:szCs w:val="26"/>
          <w:lang w:val="es-MX"/>
        </w:rPr>
        <w:t xml:space="preserve">al expedir </w:t>
      </w:r>
      <w:r w:rsidRPr="00A664F3">
        <w:rPr>
          <w:rFonts w:cs="Arial"/>
          <w:sz w:val="26"/>
          <w:szCs w:val="26"/>
        </w:rPr>
        <w:t>dicho instrumento</w:t>
      </w:r>
      <w:r w:rsidR="00246605" w:rsidRPr="00A664F3">
        <w:rPr>
          <w:rFonts w:cs="Arial"/>
          <w:sz w:val="26"/>
          <w:szCs w:val="26"/>
        </w:rPr>
        <w:t xml:space="preserve"> </w:t>
      </w:r>
      <w:r w:rsidR="00B85DC9" w:rsidRPr="00A664F3">
        <w:rPr>
          <w:rFonts w:cs="Arial"/>
          <w:sz w:val="26"/>
          <w:szCs w:val="26"/>
          <w:lang w:val="es-MX"/>
        </w:rPr>
        <w:t>se omitió indebidamente llevar a cabo una consulta a las personas con discapacidad</w:t>
      </w:r>
      <w:r w:rsidR="00E96929" w:rsidRPr="00A664F3">
        <w:rPr>
          <w:rFonts w:cs="Arial"/>
          <w:sz w:val="26"/>
          <w:szCs w:val="26"/>
          <w:lang w:val="es-MX"/>
        </w:rPr>
        <w:t xml:space="preserve"> y que con ello se vulneró el artículo 4.3 de la Convención</w:t>
      </w:r>
      <w:r w:rsidR="00B85DC9" w:rsidRPr="00A664F3">
        <w:rPr>
          <w:rFonts w:cs="Arial"/>
          <w:sz w:val="26"/>
          <w:szCs w:val="26"/>
          <w:lang w:val="es-MX"/>
        </w:rPr>
        <w:t xml:space="preserve">. </w:t>
      </w:r>
      <w:r w:rsidR="00E96929" w:rsidRPr="00A664F3">
        <w:rPr>
          <w:bCs/>
          <w:sz w:val="26"/>
          <w:szCs w:val="26"/>
          <w:lang w:val="es-MX"/>
        </w:rPr>
        <w:t>Como sostiene la Comisión accionante, en la medida que el contenido del decreto impugnado incide directamente en el derecho de acceso a la justicia de las personas con discapacidad</w:t>
      </w:r>
      <w:r w:rsidR="00387D68" w:rsidRPr="00A664F3">
        <w:rPr>
          <w:bCs/>
          <w:sz w:val="26"/>
          <w:szCs w:val="26"/>
          <w:lang w:val="es-MX"/>
        </w:rPr>
        <w:t xml:space="preserve"> y, por tanto, tiene un impacto desproporcionado en este sector frente al resto de la población</w:t>
      </w:r>
      <w:r w:rsidR="00E96929" w:rsidRPr="00A664F3">
        <w:rPr>
          <w:bCs/>
          <w:sz w:val="26"/>
          <w:szCs w:val="26"/>
          <w:lang w:val="es-MX"/>
        </w:rPr>
        <w:t>, las autoridades del Estado de Chihuahua también se encontraban obligadas a llevar a cabo una consulta con estos grupos</w:t>
      </w:r>
      <w:r w:rsidR="00E96929" w:rsidRPr="00A664F3">
        <w:rPr>
          <w:rFonts w:cs="Arial"/>
          <w:sz w:val="26"/>
          <w:szCs w:val="26"/>
          <w:lang w:val="es-MX"/>
        </w:rPr>
        <w:t xml:space="preserve"> que fuera previa, informada, formal, oportuna, amplia, inclusiva, transparente, apropiada y de buena fe</w:t>
      </w:r>
      <w:r w:rsidR="00E96929" w:rsidRPr="00A664F3">
        <w:rPr>
          <w:bCs/>
          <w:sz w:val="26"/>
          <w:szCs w:val="26"/>
          <w:lang w:val="es-MX"/>
        </w:rPr>
        <w:t>.</w:t>
      </w:r>
    </w:p>
    <w:p w:rsidR="00E3772E" w:rsidRPr="00A664F3" w:rsidRDefault="002B425B" w:rsidP="00E1160D">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No es obstáculo para llegar a esta conclusión que el Poder Ejecutivo de Chihuahua señale en su informe</w:t>
      </w:r>
      <w:r w:rsidR="00843AC0" w:rsidRPr="00A664F3">
        <w:rPr>
          <w:rFonts w:cs="Arial"/>
          <w:sz w:val="26"/>
          <w:szCs w:val="26"/>
          <w:lang w:val="es-MX"/>
        </w:rPr>
        <w:t xml:space="preserve"> que</w:t>
      </w:r>
      <w:r w:rsidRPr="00A664F3">
        <w:rPr>
          <w:rFonts w:cs="Arial"/>
          <w:sz w:val="26"/>
          <w:szCs w:val="26"/>
          <w:lang w:val="es-MX"/>
        </w:rPr>
        <w:t xml:space="preserve"> </w:t>
      </w:r>
      <w:r w:rsidR="00843AC0" w:rsidRPr="00A664F3">
        <w:rPr>
          <w:rFonts w:cs="Arial"/>
          <w:bCs/>
          <w:sz w:val="26"/>
          <w:szCs w:val="26"/>
        </w:rPr>
        <w:t>l</w:t>
      </w:r>
      <w:r w:rsidR="00843AC0" w:rsidRPr="00A664F3">
        <w:rPr>
          <w:rFonts w:cs="Arial"/>
          <w:sz w:val="26"/>
          <w:szCs w:val="26"/>
        </w:rPr>
        <w:t xml:space="preserve">a inclusión de las personas con discapacidad visual, auditiva o del habla como </w:t>
      </w:r>
      <w:r w:rsidR="00ED027A" w:rsidRPr="00A664F3">
        <w:rPr>
          <w:rFonts w:cs="Arial"/>
          <w:sz w:val="26"/>
          <w:szCs w:val="26"/>
        </w:rPr>
        <w:t>destinatarios</w:t>
      </w:r>
      <w:r w:rsidR="00843AC0" w:rsidRPr="00A664F3">
        <w:rPr>
          <w:rFonts w:cs="Arial"/>
          <w:sz w:val="26"/>
          <w:szCs w:val="26"/>
        </w:rPr>
        <w:t xml:space="preserve"> de estas normas obedec</w:t>
      </w:r>
      <w:r w:rsidR="00A5784F" w:rsidRPr="00A664F3">
        <w:rPr>
          <w:rFonts w:cs="Arial"/>
          <w:sz w:val="26"/>
          <w:szCs w:val="26"/>
        </w:rPr>
        <w:t>ió</w:t>
      </w:r>
      <w:r w:rsidR="00843AC0" w:rsidRPr="00A664F3">
        <w:rPr>
          <w:rFonts w:cs="Arial"/>
          <w:sz w:val="26"/>
          <w:szCs w:val="26"/>
        </w:rPr>
        <w:t xml:space="preserve"> a que comisión dictaminadora de la iniciativa presentada en el Congreso de Chihuahua hizo suya la solicitud </w:t>
      </w:r>
      <w:r w:rsidR="000653C3" w:rsidRPr="00A664F3">
        <w:rPr>
          <w:rFonts w:cs="Arial"/>
          <w:sz w:val="26"/>
          <w:szCs w:val="26"/>
        </w:rPr>
        <w:t xml:space="preserve">en este sentido presentada por </w:t>
      </w:r>
      <w:r w:rsidR="00843AC0" w:rsidRPr="00A664F3">
        <w:rPr>
          <w:rFonts w:cs="Arial"/>
          <w:sz w:val="26"/>
          <w:szCs w:val="26"/>
        </w:rPr>
        <w:t>el Director del Instituto Chihuahuense de la Lengua de Señas Mexicana A.C. y</w:t>
      </w:r>
      <w:r w:rsidR="000653C3" w:rsidRPr="00A664F3">
        <w:rPr>
          <w:rFonts w:cs="Arial"/>
          <w:sz w:val="26"/>
          <w:szCs w:val="26"/>
        </w:rPr>
        <w:t xml:space="preserve"> por</w:t>
      </w:r>
      <w:r w:rsidR="00843AC0" w:rsidRPr="00A664F3">
        <w:rPr>
          <w:rFonts w:cs="Arial"/>
          <w:sz w:val="26"/>
          <w:szCs w:val="26"/>
        </w:rPr>
        <w:t xml:space="preserve"> la Regidora y Presidenta de la Comisión de la Mujer, Familia y Derechos Humanos del Ayuntamiento de Chihuahua</w:t>
      </w:r>
      <w:r w:rsidR="00EB1856" w:rsidRPr="00A664F3">
        <w:rPr>
          <w:rStyle w:val="Refdenotaalpie"/>
          <w:rFonts w:cs="Arial"/>
          <w:sz w:val="26"/>
          <w:szCs w:val="26"/>
          <w:lang w:eastAsia="es-MX"/>
        </w:rPr>
        <w:footnoteReference w:id="95"/>
      </w:r>
      <w:r w:rsidRPr="00A664F3">
        <w:rPr>
          <w:rFonts w:cs="Arial"/>
          <w:sz w:val="26"/>
          <w:szCs w:val="26"/>
          <w:lang w:val="es-MX"/>
        </w:rPr>
        <w:t>.</w:t>
      </w:r>
      <w:r w:rsidR="005F47C2" w:rsidRPr="00A664F3">
        <w:rPr>
          <w:rFonts w:cs="Arial"/>
          <w:sz w:val="26"/>
          <w:szCs w:val="26"/>
          <w:lang w:val="es-MX"/>
        </w:rPr>
        <w:t xml:space="preserve"> Además de que </w:t>
      </w:r>
      <w:r w:rsidR="005F00D1" w:rsidRPr="00A664F3">
        <w:rPr>
          <w:rFonts w:cs="Arial"/>
          <w:sz w:val="26"/>
          <w:szCs w:val="26"/>
          <w:lang w:val="es-MX"/>
        </w:rPr>
        <w:t>es</w:t>
      </w:r>
      <w:r w:rsidR="00EE5017" w:rsidRPr="00A664F3">
        <w:rPr>
          <w:rFonts w:cs="Arial"/>
          <w:sz w:val="26"/>
          <w:szCs w:val="26"/>
          <w:lang w:val="es-MX"/>
        </w:rPr>
        <w:t>e hecho</w:t>
      </w:r>
      <w:r w:rsidR="005F47C2" w:rsidRPr="00A664F3">
        <w:rPr>
          <w:rFonts w:cs="Arial"/>
          <w:sz w:val="26"/>
          <w:szCs w:val="26"/>
          <w:lang w:val="es-MX"/>
        </w:rPr>
        <w:t xml:space="preserve"> </w:t>
      </w:r>
      <w:r w:rsidR="00EE5017" w:rsidRPr="00A664F3">
        <w:rPr>
          <w:rFonts w:cs="Arial"/>
          <w:sz w:val="26"/>
          <w:szCs w:val="26"/>
          <w:lang w:val="es-MX"/>
        </w:rPr>
        <w:t>de ningún modo</w:t>
      </w:r>
      <w:r w:rsidR="005F47C2" w:rsidRPr="00A664F3">
        <w:rPr>
          <w:rFonts w:cs="Arial"/>
          <w:sz w:val="26"/>
          <w:szCs w:val="26"/>
          <w:lang w:val="es-MX"/>
        </w:rPr>
        <w:t xml:space="preserve"> </w:t>
      </w:r>
      <w:r w:rsidR="00EE5017" w:rsidRPr="00A664F3">
        <w:rPr>
          <w:rFonts w:cs="Arial"/>
          <w:sz w:val="26"/>
          <w:szCs w:val="26"/>
          <w:lang w:val="es-MX"/>
        </w:rPr>
        <w:t>sería suficiente para convalidar</w:t>
      </w:r>
      <w:r w:rsidR="005F47C2" w:rsidRPr="00A664F3">
        <w:rPr>
          <w:rFonts w:cs="Arial"/>
          <w:sz w:val="26"/>
          <w:szCs w:val="26"/>
          <w:lang w:val="es-MX"/>
        </w:rPr>
        <w:t xml:space="preserve"> la ausencia de un procedimiento de consulta bajo los </w:t>
      </w:r>
      <w:r w:rsidR="000206A3" w:rsidRPr="00A664F3">
        <w:rPr>
          <w:rFonts w:cs="Arial"/>
          <w:sz w:val="26"/>
          <w:szCs w:val="26"/>
          <w:lang w:val="es-MX"/>
        </w:rPr>
        <w:t>estándares</w:t>
      </w:r>
      <w:r w:rsidR="005F47C2" w:rsidRPr="00A664F3">
        <w:rPr>
          <w:rFonts w:cs="Arial"/>
          <w:sz w:val="26"/>
          <w:szCs w:val="26"/>
          <w:lang w:val="es-MX"/>
        </w:rPr>
        <w:t xml:space="preserve"> que </w:t>
      </w:r>
      <w:r w:rsidR="005F47C2" w:rsidRPr="00A664F3">
        <w:rPr>
          <w:rFonts w:cs="Arial"/>
          <w:sz w:val="26"/>
          <w:szCs w:val="26"/>
          <w:lang w:val="es-MX"/>
        </w:rPr>
        <w:lastRenderedPageBreak/>
        <w:t xml:space="preserve">establece la Convención, </w:t>
      </w:r>
      <w:r w:rsidR="00843AC0" w:rsidRPr="00A664F3">
        <w:rPr>
          <w:rFonts w:cs="Arial"/>
          <w:sz w:val="26"/>
          <w:szCs w:val="26"/>
          <w:lang w:val="es-MX"/>
        </w:rPr>
        <w:t>esta Suprema Corte</w:t>
      </w:r>
      <w:r w:rsidR="008F3460" w:rsidRPr="00A664F3">
        <w:rPr>
          <w:rFonts w:cs="Arial"/>
          <w:sz w:val="26"/>
          <w:szCs w:val="26"/>
          <w:lang w:val="es-MX"/>
        </w:rPr>
        <w:t xml:space="preserve"> </w:t>
      </w:r>
      <w:r w:rsidR="005F47C2" w:rsidRPr="00A664F3">
        <w:rPr>
          <w:rFonts w:cs="Arial"/>
          <w:sz w:val="26"/>
          <w:szCs w:val="26"/>
          <w:lang w:val="es-MX"/>
        </w:rPr>
        <w:t xml:space="preserve">también </w:t>
      </w:r>
      <w:r w:rsidR="00A974B6" w:rsidRPr="00A664F3">
        <w:rPr>
          <w:rFonts w:cs="Arial"/>
          <w:sz w:val="26"/>
          <w:szCs w:val="26"/>
          <w:lang w:val="es-MX"/>
        </w:rPr>
        <w:t xml:space="preserve">ha </w:t>
      </w:r>
      <w:r w:rsidR="005F47C2" w:rsidRPr="00A664F3">
        <w:rPr>
          <w:rFonts w:cs="Arial"/>
          <w:sz w:val="26"/>
          <w:szCs w:val="26"/>
          <w:lang w:val="es-MX"/>
        </w:rPr>
        <w:t xml:space="preserve">sostenido que </w:t>
      </w:r>
      <w:r w:rsidR="00A974B6" w:rsidRPr="00A664F3">
        <w:rPr>
          <w:rFonts w:cs="Arial"/>
          <w:sz w:val="26"/>
          <w:szCs w:val="26"/>
          <w:lang w:val="es-MX"/>
        </w:rPr>
        <w:t>el requisito de consultar a las personas con discapacidad “</w:t>
      </w:r>
      <w:r w:rsidR="00A974B6" w:rsidRPr="00A664F3">
        <w:rPr>
          <w:rFonts w:cs="Arial"/>
          <w:i/>
          <w:sz w:val="26"/>
          <w:szCs w:val="26"/>
          <w:lang w:val="es-MX"/>
        </w:rPr>
        <w:t>a través de las</w:t>
      </w:r>
      <w:r w:rsidR="00843AC0" w:rsidRPr="00A664F3">
        <w:rPr>
          <w:rFonts w:cs="Arial"/>
          <w:i/>
          <w:sz w:val="26"/>
          <w:szCs w:val="26"/>
          <w:lang w:val="es-MX"/>
        </w:rPr>
        <w:t xml:space="preserve"> </w:t>
      </w:r>
      <w:r w:rsidR="008F3460" w:rsidRPr="00A664F3">
        <w:rPr>
          <w:rFonts w:cs="Arial"/>
          <w:i/>
          <w:sz w:val="26"/>
          <w:szCs w:val="26"/>
          <w:lang w:val="es-MX"/>
        </w:rPr>
        <w:t xml:space="preserve">organizaciones </w:t>
      </w:r>
      <w:r w:rsidR="006717C7" w:rsidRPr="00A664F3">
        <w:rPr>
          <w:rFonts w:cs="Arial"/>
          <w:i/>
          <w:sz w:val="26"/>
          <w:szCs w:val="26"/>
          <w:lang w:val="es-MX"/>
        </w:rPr>
        <w:t>que</w:t>
      </w:r>
      <w:r w:rsidR="00A974B6" w:rsidRPr="00A664F3">
        <w:rPr>
          <w:rFonts w:cs="Arial"/>
          <w:i/>
          <w:sz w:val="26"/>
          <w:szCs w:val="26"/>
          <w:lang w:val="es-MX"/>
        </w:rPr>
        <w:t xml:space="preserve"> las</w:t>
      </w:r>
      <w:r w:rsidR="006717C7" w:rsidRPr="00A664F3">
        <w:rPr>
          <w:rFonts w:cs="Arial"/>
          <w:i/>
          <w:sz w:val="26"/>
          <w:szCs w:val="26"/>
          <w:lang w:val="es-MX"/>
        </w:rPr>
        <w:t xml:space="preserve"> representan</w:t>
      </w:r>
      <w:r w:rsidR="00A974B6" w:rsidRPr="00A664F3">
        <w:rPr>
          <w:rFonts w:cs="Arial"/>
          <w:sz w:val="26"/>
          <w:szCs w:val="26"/>
          <w:lang w:val="es-MX"/>
        </w:rPr>
        <w:t>”</w:t>
      </w:r>
      <w:r w:rsidR="006717C7" w:rsidRPr="00A664F3">
        <w:rPr>
          <w:rFonts w:cs="Arial"/>
          <w:sz w:val="26"/>
          <w:szCs w:val="26"/>
          <w:lang w:val="es-MX"/>
        </w:rPr>
        <w:t xml:space="preserve"> </w:t>
      </w:r>
      <w:r w:rsidR="00A974B6" w:rsidRPr="00A664F3">
        <w:rPr>
          <w:rFonts w:cs="Arial"/>
          <w:sz w:val="26"/>
          <w:szCs w:val="26"/>
          <w:lang w:val="es-MX"/>
        </w:rPr>
        <w:t xml:space="preserve">no se cumple simplemente involucrando en la discusión de la </w:t>
      </w:r>
      <w:r w:rsidR="00102662" w:rsidRPr="00A664F3">
        <w:rPr>
          <w:rFonts w:cs="Arial"/>
          <w:sz w:val="26"/>
          <w:szCs w:val="26"/>
          <w:lang w:val="es-MX"/>
        </w:rPr>
        <w:t>medida</w:t>
      </w:r>
      <w:r w:rsidR="00A974B6" w:rsidRPr="00A664F3">
        <w:rPr>
          <w:rFonts w:cs="Arial"/>
          <w:sz w:val="26"/>
          <w:szCs w:val="26"/>
          <w:lang w:val="es-MX"/>
        </w:rPr>
        <w:t xml:space="preserve"> a organizaciones y personas</w:t>
      </w:r>
      <w:r w:rsidR="00843AC0" w:rsidRPr="00A664F3">
        <w:rPr>
          <w:rFonts w:cs="Arial"/>
          <w:sz w:val="26"/>
          <w:szCs w:val="26"/>
          <w:lang w:val="es-MX"/>
        </w:rPr>
        <w:t xml:space="preserve"> que</w:t>
      </w:r>
      <w:r w:rsidR="006717C7" w:rsidRPr="00A664F3">
        <w:rPr>
          <w:rFonts w:cs="Arial"/>
          <w:sz w:val="26"/>
          <w:szCs w:val="26"/>
          <w:lang w:val="es-MX"/>
        </w:rPr>
        <w:t xml:space="preserve"> trabajen por esos grupos</w:t>
      </w:r>
      <w:r w:rsidR="006717C7" w:rsidRPr="00A664F3">
        <w:rPr>
          <w:rStyle w:val="Refdenotaalpie"/>
          <w:rFonts w:cs="Arial"/>
          <w:sz w:val="26"/>
          <w:szCs w:val="26"/>
        </w:rPr>
        <w:footnoteReference w:id="96"/>
      </w:r>
      <w:r w:rsidR="008F3460" w:rsidRPr="00A664F3">
        <w:rPr>
          <w:rFonts w:cs="Arial"/>
          <w:sz w:val="26"/>
          <w:szCs w:val="26"/>
          <w:lang w:val="es-MX"/>
        </w:rPr>
        <w:t>.</w:t>
      </w:r>
      <w:r w:rsidR="00E1160D" w:rsidRPr="00A664F3">
        <w:rPr>
          <w:rFonts w:cs="Arial"/>
          <w:sz w:val="26"/>
          <w:szCs w:val="26"/>
          <w:lang w:val="es-MX"/>
        </w:rPr>
        <w:t xml:space="preserve"> </w:t>
      </w:r>
    </w:p>
    <w:p w:rsidR="000820C5" w:rsidRPr="00A664F3" w:rsidRDefault="00A974B6" w:rsidP="00E1160D">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lang w:val="es-MX"/>
        </w:rPr>
        <w:t xml:space="preserve">Como se ha establecido en la Observación General Número 7, </w:t>
      </w:r>
      <w:r w:rsidR="00FC1041" w:rsidRPr="00A664F3">
        <w:rPr>
          <w:rFonts w:cs="Arial"/>
          <w:sz w:val="26"/>
          <w:szCs w:val="26"/>
          <w:lang w:val="es-MX"/>
        </w:rPr>
        <w:t>existe una diferencia</w:t>
      </w:r>
      <w:r w:rsidR="00555FAA" w:rsidRPr="00A664F3">
        <w:rPr>
          <w:rFonts w:cs="Arial"/>
          <w:sz w:val="26"/>
          <w:szCs w:val="26"/>
          <w:lang w:val="es-MX"/>
        </w:rPr>
        <w:t xml:space="preserve"> importante</w:t>
      </w:r>
      <w:r w:rsidR="00FC1041" w:rsidRPr="00A664F3">
        <w:rPr>
          <w:rFonts w:cs="Arial"/>
          <w:sz w:val="26"/>
          <w:szCs w:val="26"/>
          <w:lang w:val="es-MX"/>
        </w:rPr>
        <w:t xml:space="preserve"> entre las</w:t>
      </w:r>
      <w:r w:rsidR="00E1160D" w:rsidRPr="00A664F3">
        <w:rPr>
          <w:rFonts w:cs="Arial"/>
          <w:sz w:val="26"/>
          <w:szCs w:val="26"/>
          <w:lang w:val="es-MX"/>
        </w:rPr>
        <w:t xml:space="preserve"> organizaciones</w:t>
      </w:r>
      <w:r w:rsidR="006717C7" w:rsidRPr="00A664F3">
        <w:rPr>
          <w:rFonts w:cs="Arial"/>
          <w:sz w:val="26"/>
          <w:szCs w:val="26"/>
          <w:lang w:val="es-MX"/>
        </w:rPr>
        <w:t xml:space="preserve"> “</w:t>
      </w:r>
      <w:r w:rsidR="006717C7" w:rsidRPr="00A664F3">
        <w:rPr>
          <w:rFonts w:cs="Arial"/>
          <w:i/>
          <w:sz w:val="26"/>
          <w:szCs w:val="26"/>
          <w:lang w:val="es-MX"/>
        </w:rPr>
        <w:t>de</w:t>
      </w:r>
      <w:r w:rsidR="006717C7" w:rsidRPr="00A664F3">
        <w:rPr>
          <w:rFonts w:cs="Arial"/>
          <w:sz w:val="26"/>
          <w:szCs w:val="26"/>
          <w:lang w:val="es-MX"/>
        </w:rPr>
        <w:t>” personas con discapacidad</w:t>
      </w:r>
      <w:r w:rsidR="00FC1041" w:rsidRPr="00A664F3">
        <w:rPr>
          <w:rFonts w:cs="Arial"/>
          <w:sz w:val="26"/>
          <w:szCs w:val="26"/>
          <w:lang w:val="es-MX"/>
        </w:rPr>
        <w:t xml:space="preserve"> y las organizaciones “</w:t>
      </w:r>
      <w:r w:rsidR="00FC1041" w:rsidRPr="00A664F3">
        <w:rPr>
          <w:rFonts w:cs="Arial"/>
          <w:i/>
          <w:sz w:val="26"/>
          <w:szCs w:val="26"/>
          <w:lang w:val="es-MX"/>
        </w:rPr>
        <w:t>para</w:t>
      </w:r>
      <w:r w:rsidR="00FC1041" w:rsidRPr="00A664F3">
        <w:rPr>
          <w:rFonts w:cs="Arial"/>
          <w:sz w:val="26"/>
          <w:szCs w:val="26"/>
          <w:lang w:val="es-MX"/>
        </w:rPr>
        <w:t>” las personas con discapacidad</w:t>
      </w:r>
      <w:r w:rsidR="007B3A78" w:rsidRPr="00A664F3">
        <w:rPr>
          <w:rStyle w:val="Refdenotaalpie"/>
          <w:rFonts w:cs="Arial"/>
          <w:sz w:val="26"/>
          <w:szCs w:val="26"/>
          <w:lang w:val="es-MX"/>
        </w:rPr>
        <w:footnoteReference w:id="97"/>
      </w:r>
      <w:r w:rsidR="00E3772E" w:rsidRPr="00A664F3">
        <w:rPr>
          <w:rFonts w:cs="Arial"/>
          <w:sz w:val="26"/>
          <w:szCs w:val="26"/>
          <w:lang w:val="es-MX"/>
        </w:rPr>
        <w:t>.</w:t>
      </w:r>
      <w:r w:rsidR="00BF69C8" w:rsidRPr="00A664F3">
        <w:rPr>
          <w:rFonts w:cs="Arial"/>
          <w:sz w:val="26"/>
          <w:szCs w:val="26"/>
          <w:lang w:val="es-MX"/>
        </w:rPr>
        <w:t xml:space="preserve"> </w:t>
      </w:r>
      <w:r w:rsidR="00E3772E" w:rsidRPr="00A664F3">
        <w:rPr>
          <w:rFonts w:cs="Arial"/>
          <w:sz w:val="26"/>
          <w:szCs w:val="26"/>
          <w:lang w:val="es-MX"/>
        </w:rPr>
        <w:t>Aunque la participación de estas últimas</w:t>
      </w:r>
      <w:r w:rsidR="00E320EA" w:rsidRPr="00A664F3">
        <w:rPr>
          <w:rFonts w:cs="Arial"/>
          <w:sz w:val="26"/>
          <w:szCs w:val="26"/>
          <w:lang w:val="es-MX"/>
        </w:rPr>
        <w:t xml:space="preserve"> en los procesos decisorios ciertamente</w:t>
      </w:r>
      <w:r w:rsidR="00E3772E" w:rsidRPr="00A664F3">
        <w:rPr>
          <w:rFonts w:cs="Arial"/>
          <w:sz w:val="26"/>
          <w:szCs w:val="26"/>
          <w:lang w:val="es-MX"/>
        </w:rPr>
        <w:t xml:space="preserve"> puede resultar benéfica en la implementación de políticas de inclusión</w:t>
      </w:r>
      <w:r w:rsidR="00E320EA" w:rsidRPr="00A664F3">
        <w:rPr>
          <w:rFonts w:cs="Arial"/>
          <w:sz w:val="26"/>
          <w:szCs w:val="26"/>
          <w:lang w:val="es-MX"/>
        </w:rPr>
        <w:t xml:space="preserve"> para las personas con discapacidad</w:t>
      </w:r>
      <w:r w:rsidR="00E3772E" w:rsidRPr="00A664F3">
        <w:rPr>
          <w:rFonts w:cs="Arial"/>
          <w:sz w:val="26"/>
          <w:szCs w:val="26"/>
          <w:lang w:val="es-MX"/>
        </w:rPr>
        <w:t>, p</w:t>
      </w:r>
      <w:r w:rsidR="0057438A" w:rsidRPr="00A664F3">
        <w:rPr>
          <w:rFonts w:cs="Arial"/>
          <w:sz w:val="26"/>
          <w:szCs w:val="26"/>
          <w:lang w:val="es-MX"/>
        </w:rPr>
        <w:t xml:space="preserve">ara efectos del artículo 4.3 de la Convención </w:t>
      </w:r>
      <w:r w:rsidR="00BF69C8" w:rsidRPr="00A664F3">
        <w:rPr>
          <w:rFonts w:cs="Arial"/>
          <w:sz w:val="26"/>
          <w:szCs w:val="26"/>
          <w:lang w:val="es-MX"/>
        </w:rPr>
        <w:t>es indispensable que la consulta</w:t>
      </w:r>
      <w:r w:rsidR="00E3772E" w:rsidRPr="00A664F3">
        <w:rPr>
          <w:rFonts w:cs="Arial"/>
          <w:sz w:val="26"/>
          <w:szCs w:val="26"/>
          <w:lang w:val="es-MX"/>
        </w:rPr>
        <w:t xml:space="preserve"> a personas con discapacidad</w:t>
      </w:r>
      <w:r w:rsidR="00BF69C8" w:rsidRPr="00A664F3">
        <w:rPr>
          <w:rFonts w:cs="Arial"/>
          <w:sz w:val="26"/>
          <w:szCs w:val="26"/>
          <w:lang w:val="es-MX"/>
        </w:rPr>
        <w:t xml:space="preserve"> se lleve a cabo a través de las </w:t>
      </w:r>
      <w:r w:rsidR="00E320EA" w:rsidRPr="00A664F3">
        <w:rPr>
          <w:rFonts w:cs="Arial"/>
          <w:sz w:val="26"/>
          <w:szCs w:val="26"/>
          <w:lang w:val="es-MX"/>
        </w:rPr>
        <w:t>organizaciones “de” personas con discapacidad</w:t>
      </w:r>
      <w:r w:rsidR="007B3A78" w:rsidRPr="00A664F3">
        <w:rPr>
          <w:rStyle w:val="Refdenotaalpie"/>
          <w:rFonts w:cs="Arial"/>
          <w:sz w:val="26"/>
          <w:szCs w:val="26"/>
          <w:lang w:val="es-MX"/>
        </w:rPr>
        <w:footnoteReference w:id="98"/>
      </w:r>
      <w:r w:rsidRPr="00A664F3">
        <w:rPr>
          <w:rFonts w:cs="Arial"/>
          <w:sz w:val="26"/>
          <w:szCs w:val="26"/>
          <w:lang w:val="es-MX"/>
        </w:rPr>
        <w:t>.</w:t>
      </w:r>
      <w:r w:rsidR="008F3460" w:rsidRPr="00A664F3">
        <w:rPr>
          <w:rFonts w:cs="Arial"/>
          <w:sz w:val="26"/>
          <w:szCs w:val="26"/>
          <w:lang w:val="es-MX"/>
        </w:rPr>
        <w:t xml:space="preserve"> De este modo,</w:t>
      </w:r>
      <w:r w:rsidR="003E6D6D" w:rsidRPr="00A664F3">
        <w:rPr>
          <w:rFonts w:cs="Arial"/>
          <w:sz w:val="26"/>
          <w:szCs w:val="26"/>
          <w:lang w:val="es-MX"/>
        </w:rPr>
        <w:t xml:space="preserve"> </w:t>
      </w:r>
      <w:r w:rsidR="00EB1C35" w:rsidRPr="00A664F3">
        <w:rPr>
          <w:rFonts w:cs="Arial"/>
          <w:sz w:val="26"/>
          <w:szCs w:val="26"/>
          <w:lang w:val="es-MX"/>
        </w:rPr>
        <w:t xml:space="preserve">que la medida </w:t>
      </w:r>
      <w:r w:rsidR="005F67FC" w:rsidRPr="00A664F3">
        <w:rPr>
          <w:rFonts w:cs="Arial"/>
          <w:sz w:val="26"/>
          <w:szCs w:val="26"/>
          <w:lang w:val="es-MX"/>
        </w:rPr>
        <w:t xml:space="preserve">legislativa </w:t>
      </w:r>
      <w:r w:rsidR="00BE5E48" w:rsidRPr="00A664F3">
        <w:rPr>
          <w:rFonts w:cs="Arial"/>
          <w:sz w:val="26"/>
          <w:szCs w:val="26"/>
          <w:lang w:val="es-MX"/>
        </w:rPr>
        <w:t>prevista</w:t>
      </w:r>
      <w:r w:rsidR="005F67FC" w:rsidRPr="00A664F3">
        <w:rPr>
          <w:rFonts w:cs="Arial"/>
          <w:sz w:val="26"/>
          <w:szCs w:val="26"/>
          <w:lang w:val="es-MX"/>
        </w:rPr>
        <w:t xml:space="preserve"> en el decreto impugnado</w:t>
      </w:r>
      <w:r w:rsidR="00772EB4" w:rsidRPr="00A664F3">
        <w:rPr>
          <w:rFonts w:cs="Arial"/>
          <w:sz w:val="26"/>
          <w:szCs w:val="26"/>
          <w:lang w:val="es-MX"/>
        </w:rPr>
        <w:t xml:space="preserve"> haya sido</w:t>
      </w:r>
      <w:r w:rsidR="00420B86" w:rsidRPr="00A664F3">
        <w:rPr>
          <w:rFonts w:cs="Arial"/>
          <w:sz w:val="26"/>
          <w:szCs w:val="26"/>
          <w:lang w:val="es-MX"/>
        </w:rPr>
        <w:t xml:space="preserve"> incorporada a raíz de la</w:t>
      </w:r>
      <w:r w:rsidR="00EB1C35" w:rsidRPr="00A664F3">
        <w:rPr>
          <w:rFonts w:cs="Arial"/>
          <w:sz w:val="26"/>
          <w:szCs w:val="26"/>
          <w:lang w:val="es-MX"/>
        </w:rPr>
        <w:t xml:space="preserve"> sugerencia </w:t>
      </w:r>
      <w:r w:rsidR="003E6D6D" w:rsidRPr="00A664F3">
        <w:rPr>
          <w:rFonts w:cs="Arial"/>
          <w:sz w:val="26"/>
          <w:szCs w:val="26"/>
          <w:lang w:val="es-MX"/>
        </w:rPr>
        <w:t>de</w:t>
      </w:r>
      <w:r w:rsidR="00BA75A3" w:rsidRPr="00A664F3">
        <w:rPr>
          <w:rFonts w:cs="Arial"/>
          <w:sz w:val="26"/>
          <w:szCs w:val="26"/>
          <w:lang w:val="es-MX"/>
        </w:rPr>
        <w:t xml:space="preserve"> un miembro</w:t>
      </w:r>
      <w:r w:rsidR="00F12E75" w:rsidRPr="00A664F3">
        <w:rPr>
          <w:rFonts w:cs="Arial"/>
          <w:sz w:val="26"/>
          <w:szCs w:val="26"/>
          <w:lang w:val="es-MX"/>
        </w:rPr>
        <w:t xml:space="preserve"> directivo de una </w:t>
      </w:r>
      <w:r w:rsidR="00BA75A3" w:rsidRPr="00A664F3">
        <w:rPr>
          <w:rFonts w:cs="Arial"/>
          <w:sz w:val="26"/>
          <w:szCs w:val="26"/>
          <w:lang w:val="es-MX"/>
        </w:rPr>
        <w:t xml:space="preserve">sola </w:t>
      </w:r>
      <w:r w:rsidR="00772EB4" w:rsidRPr="00A664F3">
        <w:rPr>
          <w:rFonts w:cs="Arial"/>
          <w:sz w:val="26"/>
          <w:szCs w:val="26"/>
          <w:lang w:val="es-MX"/>
        </w:rPr>
        <w:t>organizac</w:t>
      </w:r>
      <w:r w:rsidR="00F12E75" w:rsidRPr="00A664F3">
        <w:rPr>
          <w:rFonts w:cs="Arial"/>
          <w:sz w:val="26"/>
          <w:szCs w:val="26"/>
          <w:lang w:val="es-MX"/>
        </w:rPr>
        <w:t xml:space="preserve">ión cuyo objeto es </w:t>
      </w:r>
      <w:r w:rsidR="00FC1041" w:rsidRPr="00A664F3">
        <w:rPr>
          <w:rFonts w:cs="Arial"/>
          <w:sz w:val="26"/>
          <w:szCs w:val="26"/>
          <w:lang w:val="es-MX"/>
        </w:rPr>
        <w:t xml:space="preserve">la </w:t>
      </w:r>
      <w:r w:rsidR="003745A5" w:rsidRPr="00A664F3">
        <w:rPr>
          <w:rFonts w:cs="Arial"/>
          <w:sz w:val="26"/>
          <w:szCs w:val="26"/>
          <w:lang w:val="es-MX"/>
        </w:rPr>
        <w:t>asistencia</w:t>
      </w:r>
      <w:r w:rsidR="005F67FC" w:rsidRPr="00A664F3">
        <w:rPr>
          <w:rFonts w:cs="Arial"/>
          <w:sz w:val="26"/>
          <w:szCs w:val="26"/>
          <w:lang w:val="es-MX"/>
        </w:rPr>
        <w:t xml:space="preserve"> en traducción</w:t>
      </w:r>
      <w:r w:rsidR="00DA32D8" w:rsidRPr="00A664F3">
        <w:rPr>
          <w:rFonts w:cs="Arial"/>
          <w:sz w:val="26"/>
          <w:szCs w:val="26"/>
          <w:lang w:val="es-MX"/>
        </w:rPr>
        <w:t xml:space="preserve"> e interpretación</w:t>
      </w:r>
      <w:r w:rsidR="003745A5" w:rsidRPr="00A664F3">
        <w:rPr>
          <w:rFonts w:cs="Arial"/>
          <w:sz w:val="26"/>
          <w:szCs w:val="26"/>
          <w:lang w:val="es-MX"/>
        </w:rPr>
        <w:t xml:space="preserve"> a personas con </w:t>
      </w:r>
      <w:r w:rsidR="00F12E75" w:rsidRPr="00A664F3">
        <w:rPr>
          <w:rFonts w:cs="Arial"/>
          <w:sz w:val="26"/>
          <w:szCs w:val="26"/>
          <w:lang w:val="es-MX"/>
        </w:rPr>
        <w:t>discapacidad</w:t>
      </w:r>
      <w:r w:rsidR="00FC1041" w:rsidRPr="00A664F3">
        <w:rPr>
          <w:rFonts w:cs="Arial"/>
          <w:sz w:val="26"/>
          <w:szCs w:val="26"/>
          <w:lang w:val="es-MX"/>
        </w:rPr>
        <w:t xml:space="preserve"> auditiva</w:t>
      </w:r>
      <w:r w:rsidR="00EB1C35" w:rsidRPr="00A664F3">
        <w:rPr>
          <w:rFonts w:cs="Arial"/>
          <w:sz w:val="26"/>
          <w:szCs w:val="26"/>
          <w:lang w:val="es-MX"/>
        </w:rPr>
        <w:t xml:space="preserve"> y del habla</w:t>
      </w:r>
      <w:r w:rsidR="00431763" w:rsidRPr="00A664F3">
        <w:rPr>
          <w:rFonts w:cs="Arial"/>
          <w:sz w:val="26"/>
          <w:szCs w:val="26"/>
          <w:lang w:val="es-MX"/>
        </w:rPr>
        <w:t>, así como de una autoridad municipal encargada del tema de derechos humanos en el Ayuntamiento de Chihuahua,</w:t>
      </w:r>
      <w:r w:rsidR="00F12E75" w:rsidRPr="00A664F3">
        <w:rPr>
          <w:rFonts w:cs="Arial"/>
          <w:sz w:val="26"/>
          <w:szCs w:val="26"/>
          <w:lang w:val="es-MX"/>
        </w:rPr>
        <w:t xml:space="preserve"> no puede ser </w:t>
      </w:r>
      <w:r w:rsidR="00EB1C35" w:rsidRPr="00A664F3">
        <w:rPr>
          <w:rFonts w:cs="Arial"/>
          <w:sz w:val="26"/>
          <w:szCs w:val="26"/>
          <w:lang w:val="es-MX"/>
        </w:rPr>
        <w:t>equiparado a la realización de una consulta a personas con discapacidad</w:t>
      </w:r>
      <w:r w:rsidR="00F12E75" w:rsidRPr="00A664F3">
        <w:rPr>
          <w:rFonts w:cs="Arial"/>
          <w:sz w:val="26"/>
          <w:szCs w:val="26"/>
          <w:lang w:val="es-MX"/>
        </w:rPr>
        <w:t xml:space="preserve"> </w:t>
      </w:r>
      <w:r w:rsidR="008F3460" w:rsidRPr="00A664F3">
        <w:rPr>
          <w:rFonts w:cs="Arial"/>
          <w:sz w:val="26"/>
          <w:szCs w:val="26"/>
          <w:lang w:val="es-MX"/>
        </w:rPr>
        <w:t xml:space="preserve">a través de </w:t>
      </w:r>
      <w:r w:rsidR="00BA75A3" w:rsidRPr="00A664F3">
        <w:rPr>
          <w:rFonts w:cs="Arial"/>
          <w:sz w:val="26"/>
          <w:szCs w:val="26"/>
          <w:lang w:val="es-MX"/>
        </w:rPr>
        <w:t>las</w:t>
      </w:r>
      <w:r w:rsidR="008F3460" w:rsidRPr="00A664F3">
        <w:rPr>
          <w:rFonts w:cs="Arial"/>
          <w:sz w:val="26"/>
          <w:szCs w:val="26"/>
          <w:lang w:val="es-MX"/>
        </w:rPr>
        <w:t xml:space="preserve"> organizaci</w:t>
      </w:r>
      <w:r w:rsidR="00BA75A3" w:rsidRPr="00A664F3">
        <w:rPr>
          <w:rFonts w:cs="Arial"/>
          <w:sz w:val="26"/>
          <w:szCs w:val="26"/>
          <w:lang w:val="es-MX"/>
        </w:rPr>
        <w:t>o</w:t>
      </w:r>
      <w:r w:rsidR="008F3460" w:rsidRPr="00A664F3">
        <w:rPr>
          <w:rFonts w:cs="Arial"/>
          <w:sz w:val="26"/>
          <w:szCs w:val="26"/>
          <w:lang w:val="es-MX"/>
        </w:rPr>
        <w:t>n</w:t>
      </w:r>
      <w:r w:rsidR="00BA75A3" w:rsidRPr="00A664F3">
        <w:rPr>
          <w:rFonts w:cs="Arial"/>
          <w:sz w:val="26"/>
          <w:szCs w:val="26"/>
          <w:lang w:val="es-MX"/>
        </w:rPr>
        <w:t>es</w:t>
      </w:r>
      <w:r w:rsidR="00DA32D8" w:rsidRPr="00A664F3">
        <w:rPr>
          <w:rFonts w:cs="Arial"/>
          <w:sz w:val="26"/>
          <w:szCs w:val="26"/>
          <w:lang w:val="es-MX"/>
        </w:rPr>
        <w:t xml:space="preserve"> </w:t>
      </w:r>
      <w:r w:rsidR="008F3460" w:rsidRPr="00A664F3">
        <w:rPr>
          <w:rFonts w:cs="Arial"/>
          <w:sz w:val="26"/>
          <w:szCs w:val="26"/>
          <w:lang w:val="es-MX"/>
        </w:rPr>
        <w:t>de personas con discapacidad</w:t>
      </w:r>
      <w:r w:rsidR="00BA75A3" w:rsidRPr="00A664F3">
        <w:rPr>
          <w:rFonts w:cs="Arial"/>
          <w:sz w:val="26"/>
          <w:szCs w:val="26"/>
          <w:lang w:val="es-MX"/>
        </w:rPr>
        <w:t xml:space="preserve"> que las representan</w:t>
      </w:r>
      <w:r w:rsidR="003E6D6D" w:rsidRPr="00A664F3">
        <w:rPr>
          <w:rFonts w:cs="Arial"/>
          <w:sz w:val="26"/>
          <w:szCs w:val="26"/>
          <w:lang w:val="es-MX"/>
        </w:rPr>
        <w:t>.</w:t>
      </w:r>
      <w:r w:rsidR="000820C5" w:rsidRPr="00A664F3">
        <w:rPr>
          <w:rFonts w:cs="Arial"/>
          <w:sz w:val="26"/>
          <w:szCs w:val="26"/>
        </w:rPr>
        <w:t xml:space="preserve"> </w:t>
      </w:r>
    </w:p>
    <w:p w:rsidR="000F4946" w:rsidRPr="00A664F3" w:rsidRDefault="000F4946" w:rsidP="000F4946">
      <w:pPr>
        <w:pStyle w:val="corte4fondo"/>
        <w:spacing w:after="360" w:line="360" w:lineRule="auto"/>
        <w:ind w:firstLine="0"/>
        <w:jc w:val="center"/>
        <w:rPr>
          <w:b/>
          <w:sz w:val="26"/>
          <w:szCs w:val="26"/>
          <w:lang w:val="es-MX"/>
        </w:rPr>
      </w:pPr>
      <w:r w:rsidRPr="00A664F3">
        <w:rPr>
          <w:b/>
          <w:sz w:val="26"/>
          <w:szCs w:val="26"/>
          <w:lang w:val="es-MX"/>
        </w:rPr>
        <w:t>***</w:t>
      </w:r>
    </w:p>
    <w:p w:rsidR="00A37CED" w:rsidRPr="005D5EEC" w:rsidRDefault="001D7F75" w:rsidP="005D5EEC">
      <w:pPr>
        <w:pStyle w:val="corte4fondo"/>
        <w:numPr>
          <w:ilvl w:val="0"/>
          <w:numId w:val="1"/>
        </w:numPr>
        <w:tabs>
          <w:tab w:val="clear" w:pos="-3"/>
          <w:tab w:val="left" w:pos="0"/>
        </w:tabs>
        <w:spacing w:after="360" w:line="360" w:lineRule="auto"/>
        <w:ind w:left="0" w:hanging="567"/>
        <w:rPr>
          <w:b/>
          <w:sz w:val="26"/>
          <w:szCs w:val="26"/>
          <w:lang w:val="es-MX"/>
        </w:rPr>
      </w:pPr>
      <w:r w:rsidRPr="00A664F3">
        <w:rPr>
          <w:rFonts w:cs="Arial"/>
          <w:sz w:val="26"/>
          <w:szCs w:val="26"/>
        </w:rPr>
        <w:t>Al haberse estimado fundado</w:t>
      </w:r>
      <w:r w:rsidR="00FF3FF0" w:rsidRPr="00A664F3">
        <w:rPr>
          <w:rFonts w:cs="Arial"/>
          <w:sz w:val="26"/>
          <w:szCs w:val="26"/>
        </w:rPr>
        <w:t>s</w:t>
      </w:r>
      <w:r w:rsidRPr="00A664F3">
        <w:rPr>
          <w:rFonts w:cs="Arial"/>
          <w:sz w:val="26"/>
          <w:szCs w:val="26"/>
        </w:rPr>
        <w:t xml:space="preserve"> </w:t>
      </w:r>
      <w:r w:rsidR="00FF3FF0" w:rsidRPr="00A664F3">
        <w:rPr>
          <w:rFonts w:cs="Arial"/>
          <w:sz w:val="26"/>
          <w:szCs w:val="26"/>
        </w:rPr>
        <w:t>los</w:t>
      </w:r>
      <w:r w:rsidRPr="00A664F3">
        <w:rPr>
          <w:rFonts w:cs="Arial"/>
          <w:sz w:val="26"/>
          <w:szCs w:val="26"/>
        </w:rPr>
        <w:t xml:space="preserve"> planteamiento</w:t>
      </w:r>
      <w:r w:rsidR="00FF3FF0" w:rsidRPr="00A664F3">
        <w:rPr>
          <w:rFonts w:cs="Arial"/>
          <w:sz w:val="26"/>
          <w:szCs w:val="26"/>
        </w:rPr>
        <w:t>s</w:t>
      </w:r>
      <w:r w:rsidRPr="00A664F3">
        <w:rPr>
          <w:rFonts w:cs="Arial"/>
          <w:sz w:val="26"/>
          <w:szCs w:val="26"/>
        </w:rPr>
        <w:t xml:space="preserve"> de la Comisión Nacional de los Derechos Humanos</w:t>
      </w:r>
      <w:r w:rsidR="00DE25D8" w:rsidRPr="00A664F3">
        <w:rPr>
          <w:rFonts w:cs="Arial"/>
          <w:sz w:val="26"/>
          <w:szCs w:val="26"/>
        </w:rPr>
        <w:t xml:space="preserve"> contra los</w:t>
      </w:r>
      <w:r w:rsidR="00BD25D1" w:rsidRPr="00A664F3">
        <w:rPr>
          <w:rFonts w:cs="Arial"/>
          <w:sz w:val="26"/>
          <w:szCs w:val="26"/>
        </w:rPr>
        <w:t xml:space="preserve"> cuatro</w:t>
      </w:r>
      <w:r w:rsidR="00DE25D8" w:rsidRPr="00A664F3">
        <w:rPr>
          <w:rFonts w:cs="Arial"/>
          <w:sz w:val="26"/>
          <w:szCs w:val="26"/>
        </w:rPr>
        <w:t xml:space="preserve"> decretos impugnados</w:t>
      </w:r>
      <w:r w:rsidRPr="00A664F3">
        <w:rPr>
          <w:rFonts w:cs="Arial"/>
          <w:sz w:val="26"/>
          <w:szCs w:val="26"/>
        </w:rPr>
        <w:t>,</w:t>
      </w:r>
      <w:r w:rsidR="005D5EEC" w:rsidRPr="00A664F3">
        <w:rPr>
          <w:bCs/>
          <w:sz w:val="26"/>
          <w:szCs w:val="26"/>
          <w:lang w:val="es-MX"/>
        </w:rPr>
        <w:t xml:space="preserve"> </w:t>
      </w:r>
      <w:r w:rsidR="005D5EEC" w:rsidRPr="00A664F3">
        <w:rPr>
          <w:b/>
          <w:bCs/>
          <w:sz w:val="26"/>
          <w:szCs w:val="26"/>
          <w:lang w:val="es-MX"/>
        </w:rPr>
        <w:t>debe</w:t>
      </w:r>
      <w:r w:rsidR="005D5EEC" w:rsidRPr="00DF7BD9">
        <w:rPr>
          <w:b/>
          <w:bCs/>
          <w:sz w:val="26"/>
          <w:szCs w:val="26"/>
          <w:lang w:val="es-MX"/>
        </w:rPr>
        <w:t xml:space="preserve"> declararse </w:t>
      </w:r>
      <w:r w:rsidR="005D5EEC">
        <w:rPr>
          <w:b/>
          <w:bCs/>
          <w:sz w:val="26"/>
          <w:szCs w:val="26"/>
          <w:lang w:val="es-MX"/>
        </w:rPr>
        <w:t>la</w:t>
      </w:r>
      <w:r w:rsidR="005D5EEC" w:rsidRPr="00DF7BD9">
        <w:rPr>
          <w:b/>
          <w:bCs/>
          <w:sz w:val="26"/>
          <w:szCs w:val="26"/>
          <w:lang w:val="es-MX"/>
        </w:rPr>
        <w:t xml:space="preserve"> invalidez</w:t>
      </w:r>
      <w:r w:rsidR="005D5EEC">
        <w:rPr>
          <w:b/>
          <w:bCs/>
          <w:sz w:val="26"/>
          <w:szCs w:val="26"/>
          <w:lang w:val="es-MX"/>
        </w:rPr>
        <w:t xml:space="preserve"> </w:t>
      </w:r>
      <w:r w:rsidR="005D5EEC">
        <w:rPr>
          <w:bCs/>
          <w:sz w:val="26"/>
          <w:szCs w:val="26"/>
          <w:lang w:val="es-MX"/>
        </w:rPr>
        <w:t xml:space="preserve">de los </w:t>
      </w:r>
      <w:r w:rsidR="005D5EEC">
        <w:rPr>
          <w:rFonts w:cs="Arial"/>
          <w:sz w:val="26"/>
          <w:szCs w:val="26"/>
        </w:rPr>
        <w:t xml:space="preserve">Decretos N° </w:t>
      </w:r>
      <w:r w:rsidR="005D5EEC" w:rsidRPr="00B825C4">
        <w:rPr>
          <w:rFonts w:cs="Arial"/>
          <w:sz w:val="26"/>
          <w:szCs w:val="26"/>
        </w:rPr>
        <w:t xml:space="preserve">LXVI/RFCNT/0512/2019 I P.O., LXVI/RFLEY/0513/2019 I P.O., LXVI/RFLEY/0665/2020 III P.E. y </w:t>
      </w:r>
      <w:r w:rsidR="005D5EEC">
        <w:rPr>
          <w:rFonts w:cs="Arial"/>
          <w:sz w:val="26"/>
          <w:szCs w:val="26"/>
        </w:rPr>
        <w:lastRenderedPageBreak/>
        <w:t>LXVI/RFLEY/0666/2020 III P.E., publicados en el Periódico Oficial del Estado de Chihuahua el cuatro de marzo de dos mil veinte.</w:t>
      </w:r>
    </w:p>
    <w:p w:rsidR="00CB5A8E" w:rsidRDefault="00CB5A8E" w:rsidP="00CB5A8E">
      <w:pPr>
        <w:pStyle w:val="corte4fondo"/>
        <w:tabs>
          <w:tab w:val="left" w:pos="0"/>
        </w:tabs>
        <w:spacing w:after="360" w:line="360" w:lineRule="auto"/>
        <w:ind w:firstLine="0"/>
        <w:jc w:val="center"/>
        <w:rPr>
          <w:b/>
          <w:sz w:val="26"/>
          <w:szCs w:val="26"/>
          <w:lang w:val="es-MX"/>
        </w:rPr>
      </w:pPr>
      <w:r>
        <w:rPr>
          <w:b/>
          <w:sz w:val="26"/>
          <w:szCs w:val="26"/>
          <w:lang w:val="es-MX"/>
        </w:rPr>
        <w:t>V. EFECTOS</w:t>
      </w:r>
    </w:p>
    <w:p w:rsidR="00CB5A8E" w:rsidRDefault="009A3318" w:rsidP="00CB5A8E">
      <w:pPr>
        <w:pStyle w:val="corte4fondo"/>
        <w:numPr>
          <w:ilvl w:val="0"/>
          <w:numId w:val="1"/>
        </w:numPr>
        <w:tabs>
          <w:tab w:val="clear" w:pos="-3"/>
          <w:tab w:val="left" w:pos="0"/>
        </w:tabs>
        <w:spacing w:after="360" w:line="360" w:lineRule="auto"/>
        <w:ind w:left="0" w:hanging="567"/>
        <w:rPr>
          <w:b/>
          <w:sz w:val="26"/>
          <w:szCs w:val="26"/>
          <w:lang w:val="es-MX"/>
        </w:rPr>
      </w:pPr>
      <w:r>
        <w:rPr>
          <w:sz w:val="26"/>
          <w:szCs w:val="26"/>
        </w:rPr>
        <w:t>Finalmente, e</w:t>
      </w:r>
      <w:r w:rsidR="00CB5A8E">
        <w:rPr>
          <w:sz w:val="26"/>
          <w:szCs w:val="26"/>
        </w:rPr>
        <w:t>n términos de los artículos 41, fracción IV</w:t>
      </w:r>
      <w:r w:rsidR="00CB5A8E">
        <w:rPr>
          <w:sz w:val="26"/>
          <w:szCs w:val="26"/>
          <w:vertAlign w:val="superscript"/>
        </w:rPr>
        <w:footnoteReference w:id="99"/>
      </w:r>
      <w:r w:rsidR="00CB5A8E">
        <w:rPr>
          <w:sz w:val="26"/>
          <w:szCs w:val="26"/>
        </w:rPr>
        <w:t>,</w:t>
      </w:r>
      <w:r w:rsidR="00CB5A8E">
        <w:rPr>
          <w:sz w:val="26"/>
          <w:szCs w:val="26"/>
          <w:vertAlign w:val="superscript"/>
        </w:rPr>
        <w:t xml:space="preserve"> </w:t>
      </w:r>
      <w:r w:rsidR="00CB5A8E">
        <w:rPr>
          <w:sz w:val="26"/>
          <w:szCs w:val="26"/>
        </w:rPr>
        <w:t>y 73</w:t>
      </w:r>
      <w:r w:rsidR="00CB5A8E">
        <w:rPr>
          <w:sz w:val="26"/>
          <w:szCs w:val="26"/>
          <w:vertAlign w:val="superscript"/>
        </w:rPr>
        <w:footnoteReference w:id="100"/>
      </w:r>
      <w:r w:rsidR="00CB5A8E">
        <w:rPr>
          <w:sz w:val="26"/>
          <w:szCs w:val="26"/>
        </w:rPr>
        <w:t xml:space="preserve"> de la Ley Reglamentaria, </w:t>
      </w:r>
      <w:r>
        <w:rPr>
          <w:sz w:val="26"/>
          <w:szCs w:val="26"/>
        </w:rPr>
        <w:t>procede</w:t>
      </w:r>
      <w:r w:rsidR="00CB5A8E">
        <w:rPr>
          <w:sz w:val="26"/>
          <w:szCs w:val="26"/>
        </w:rPr>
        <w:t xml:space="preserve"> fijar los alcances de esta sentencia.</w:t>
      </w:r>
    </w:p>
    <w:p w:rsidR="00CB5A8E" w:rsidRPr="001349C2" w:rsidRDefault="00CB5A8E" w:rsidP="00CB5A8E">
      <w:pPr>
        <w:pStyle w:val="corte4fondo"/>
        <w:numPr>
          <w:ilvl w:val="0"/>
          <w:numId w:val="1"/>
        </w:numPr>
        <w:tabs>
          <w:tab w:val="clear" w:pos="-3"/>
          <w:tab w:val="left" w:pos="0"/>
        </w:tabs>
        <w:spacing w:after="360" w:line="360" w:lineRule="auto"/>
        <w:ind w:left="0" w:hanging="567"/>
        <w:rPr>
          <w:b/>
          <w:sz w:val="26"/>
          <w:szCs w:val="26"/>
          <w:lang w:val="es-MX"/>
        </w:rPr>
      </w:pPr>
      <w:r>
        <w:rPr>
          <w:b/>
          <w:sz w:val="26"/>
          <w:szCs w:val="26"/>
        </w:rPr>
        <w:t>Declaraciones de invalidez.</w:t>
      </w:r>
      <w:r>
        <w:rPr>
          <w:sz w:val="26"/>
          <w:szCs w:val="26"/>
        </w:rPr>
        <w:t xml:space="preserve"> En el apartado anterior se concluyó</w:t>
      </w:r>
      <w:r w:rsidR="00E75CC6" w:rsidRPr="00F261E6">
        <w:rPr>
          <w:sz w:val="26"/>
          <w:szCs w:val="26"/>
        </w:rPr>
        <w:t>, por una parte,</w:t>
      </w:r>
      <w:r w:rsidRPr="00F261E6">
        <w:rPr>
          <w:sz w:val="26"/>
          <w:szCs w:val="26"/>
        </w:rPr>
        <w:t xml:space="preserve"> que se debe declarar la </w:t>
      </w:r>
      <w:r w:rsidRPr="00F261E6">
        <w:rPr>
          <w:b/>
          <w:sz w:val="26"/>
          <w:szCs w:val="26"/>
        </w:rPr>
        <w:t>invalidez</w:t>
      </w:r>
      <w:r w:rsidR="00847CBC" w:rsidRPr="00F261E6">
        <w:rPr>
          <w:b/>
          <w:sz w:val="26"/>
          <w:szCs w:val="26"/>
        </w:rPr>
        <w:t xml:space="preserve"> directa</w:t>
      </w:r>
      <w:r w:rsidR="009A3318" w:rsidRPr="00F261E6">
        <w:rPr>
          <w:b/>
          <w:sz w:val="26"/>
          <w:szCs w:val="26"/>
        </w:rPr>
        <w:t xml:space="preserve"> </w:t>
      </w:r>
      <w:r w:rsidRPr="00F261E6">
        <w:rPr>
          <w:rFonts w:cs="Arial"/>
          <w:sz w:val="26"/>
          <w:szCs w:val="26"/>
        </w:rPr>
        <w:t>de</w:t>
      </w:r>
      <w:r w:rsidR="002C5B26" w:rsidRPr="00F261E6">
        <w:rPr>
          <w:rFonts w:cs="Arial"/>
          <w:sz w:val="26"/>
          <w:szCs w:val="26"/>
        </w:rPr>
        <w:t xml:space="preserve"> los Decretos </w:t>
      </w:r>
      <w:r w:rsidR="001355EE" w:rsidRPr="00F261E6">
        <w:rPr>
          <w:rFonts w:cs="Arial"/>
          <w:sz w:val="26"/>
          <w:szCs w:val="26"/>
        </w:rPr>
        <w:t>N° LXVI/RFCNT/0512/2019 I P.O., LXVI/RFLEY/0513/2019 I P.O., LXVI/RFLEY/0665/2020 III P.E. y LXVI/RFLEY/0666/2020 III P.E., publicados en el Periódico Oficial del Estado de Chihuahua el cuatro de marzo de dos mil veinte</w:t>
      </w:r>
      <w:r w:rsidRPr="00F261E6">
        <w:rPr>
          <w:rFonts w:cs="Arial"/>
          <w:sz w:val="26"/>
          <w:szCs w:val="26"/>
        </w:rPr>
        <w:t>,</w:t>
      </w:r>
      <w:r w:rsidRPr="00F261E6">
        <w:rPr>
          <w:sz w:val="26"/>
          <w:szCs w:val="26"/>
        </w:rPr>
        <w:t xml:space="preserve"> porque </w:t>
      </w:r>
      <w:r w:rsidR="001355EE" w:rsidRPr="00F261E6">
        <w:rPr>
          <w:sz w:val="26"/>
          <w:szCs w:val="26"/>
        </w:rPr>
        <w:t xml:space="preserve">al omitirse llevar a cabo una consulta a los pueblos y comunidades indígenas </w:t>
      </w:r>
      <w:r w:rsidR="00F73C74" w:rsidRPr="00F261E6">
        <w:rPr>
          <w:sz w:val="26"/>
          <w:szCs w:val="26"/>
        </w:rPr>
        <w:t xml:space="preserve">de esa entidad federativa </w:t>
      </w:r>
      <w:r w:rsidR="001355EE" w:rsidRPr="00F261E6">
        <w:rPr>
          <w:sz w:val="26"/>
          <w:szCs w:val="26"/>
        </w:rPr>
        <w:t>previamente a</w:t>
      </w:r>
      <w:r w:rsidR="004D4588" w:rsidRPr="00F261E6">
        <w:rPr>
          <w:sz w:val="26"/>
          <w:szCs w:val="26"/>
        </w:rPr>
        <w:t xml:space="preserve"> su expedición se </w:t>
      </w:r>
      <w:r w:rsidR="001355EE" w:rsidRPr="00F261E6">
        <w:rPr>
          <w:sz w:val="26"/>
          <w:szCs w:val="26"/>
        </w:rPr>
        <w:t>vulneraron los artículos 2°</w:t>
      </w:r>
      <w:r w:rsidR="006F77C3" w:rsidRPr="00F261E6">
        <w:rPr>
          <w:sz w:val="26"/>
          <w:szCs w:val="26"/>
        </w:rPr>
        <w:t xml:space="preserve"> de la Constitución Federal y</w:t>
      </w:r>
      <w:r w:rsidR="001355EE" w:rsidRPr="00F261E6">
        <w:rPr>
          <w:sz w:val="26"/>
          <w:szCs w:val="26"/>
        </w:rPr>
        <w:t xml:space="preserve"> 6 del Convenio 169 de la OIT</w:t>
      </w:r>
      <w:r w:rsidRPr="00F261E6">
        <w:rPr>
          <w:bCs/>
          <w:sz w:val="26"/>
          <w:szCs w:val="26"/>
          <w:lang w:val="es-MX"/>
        </w:rPr>
        <w:t>.</w:t>
      </w:r>
      <w:r w:rsidR="001771F9" w:rsidRPr="00F261E6">
        <w:rPr>
          <w:bCs/>
          <w:sz w:val="26"/>
          <w:szCs w:val="26"/>
          <w:lang w:val="es-MX"/>
        </w:rPr>
        <w:t xml:space="preserve"> </w:t>
      </w:r>
      <w:r w:rsidR="00E75CC6" w:rsidRPr="00F261E6">
        <w:rPr>
          <w:bCs/>
          <w:sz w:val="26"/>
          <w:szCs w:val="26"/>
          <w:lang w:val="es-MX"/>
        </w:rPr>
        <w:t>Por otra parte</w:t>
      </w:r>
      <w:r w:rsidR="001771F9" w:rsidRPr="00F261E6">
        <w:rPr>
          <w:bCs/>
          <w:sz w:val="26"/>
          <w:szCs w:val="26"/>
          <w:lang w:val="es-MX"/>
        </w:rPr>
        <w:t>,</w:t>
      </w:r>
      <w:r w:rsidR="00E75CC6" w:rsidRPr="00F261E6">
        <w:rPr>
          <w:bCs/>
          <w:sz w:val="26"/>
          <w:szCs w:val="26"/>
          <w:lang w:val="es-MX"/>
        </w:rPr>
        <w:t xml:space="preserve"> </w:t>
      </w:r>
      <w:r w:rsidR="00386577" w:rsidRPr="00F261E6">
        <w:rPr>
          <w:bCs/>
          <w:sz w:val="26"/>
          <w:szCs w:val="26"/>
          <w:lang w:val="es-MX"/>
        </w:rPr>
        <w:t xml:space="preserve">en dicho apartado </w:t>
      </w:r>
      <w:r w:rsidR="00E75CC6" w:rsidRPr="00F261E6">
        <w:rPr>
          <w:bCs/>
          <w:sz w:val="26"/>
          <w:szCs w:val="26"/>
          <w:lang w:val="es-MX"/>
        </w:rPr>
        <w:t>se concluyó que</w:t>
      </w:r>
      <w:r w:rsidR="001771F9" w:rsidRPr="00F261E6">
        <w:rPr>
          <w:bCs/>
          <w:sz w:val="26"/>
          <w:szCs w:val="26"/>
          <w:lang w:val="es-MX"/>
        </w:rPr>
        <w:t xml:space="preserve"> </w:t>
      </w:r>
      <w:r w:rsidR="00E75CC6" w:rsidRPr="00F261E6">
        <w:rPr>
          <w:bCs/>
          <w:sz w:val="26"/>
          <w:szCs w:val="26"/>
          <w:lang w:val="es-MX"/>
        </w:rPr>
        <w:t>la</w:t>
      </w:r>
      <w:r w:rsidR="00F764F0" w:rsidRPr="00F261E6">
        <w:rPr>
          <w:bCs/>
          <w:sz w:val="26"/>
          <w:szCs w:val="26"/>
          <w:lang w:val="es-MX"/>
        </w:rPr>
        <w:t xml:space="preserve"> declaración de</w:t>
      </w:r>
      <w:r w:rsidR="001771F9" w:rsidRPr="00F261E6">
        <w:rPr>
          <w:bCs/>
          <w:sz w:val="26"/>
          <w:szCs w:val="26"/>
          <w:lang w:val="es-MX"/>
        </w:rPr>
        <w:t xml:space="preserve"> </w:t>
      </w:r>
      <w:r w:rsidR="00F764F0" w:rsidRPr="00F261E6">
        <w:rPr>
          <w:bCs/>
          <w:sz w:val="26"/>
          <w:szCs w:val="26"/>
          <w:lang w:val="es-MX"/>
        </w:rPr>
        <w:t>invalidez</w:t>
      </w:r>
      <w:r w:rsidR="00386577" w:rsidRPr="00F261E6">
        <w:rPr>
          <w:bCs/>
          <w:sz w:val="26"/>
          <w:szCs w:val="26"/>
          <w:lang w:val="es-MX"/>
        </w:rPr>
        <w:t xml:space="preserve"> directa</w:t>
      </w:r>
      <w:r w:rsidR="00F764F0" w:rsidRPr="00F261E6">
        <w:rPr>
          <w:bCs/>
          <w:sz w:val="26"/>
          <w:szCs w:val="26"/>
          <w:lang w:val="es-MX"/>
        </w:rPr>
        <w:t xml:space="preserve"> </w:t>
      </w:r>
      <w:r w:rsidR="001771F9" w:rsidRPr="00F261E6">
        <w:rPr>
          <w:bCs/>
          <w:sz w:val="26"/>
          <w:szCs w:val="26"/>
          <w:lang w:val="es-MX"/>
        </w:rPr>
        <w:t xml:space="preserve">del </w:t>
      </w:r>
      <w:r w:rsidR="00386577" w:rsidRPr="00F261E6">
        <w:rPr>
          <w:bCs/>
          <w:sz w:val="26"/>
          <w:szCs w:val="26"/>
          <w:lang w:val="es-MX"/>
        </w:rPr>
        <w:t xml:space="preserve">citado </w:t>
      </w:r>
      <w:r w:rsidR="001771F9" w:rsidRPr="00F261E6">
        <w:rPr>
          <w:bCs/>
          <w:sz w:val="26"/>
          <w:szCs w:val="26"/>
          <w:lang w:val="es-MX"/>
        </w:rPr>
        <w:t xml:space="preserve">Decreto </w:t>
      </w:r>
      <w:r w:rsidR="001771F9" w:rsidRPr="00F261E6">
        <w:rPr>
          <w:rFonts w:cs="Arial"/>
          <w:sz w:val="26"/>
          <w:szCs w:val="26"/>
        </w:rPr>
        <w:t>LXVI/RFLEY/0665/2020 III P.E.</w:t>
      </w:r>
      <w:r w:rsidR="00F764F0" w:rsidRPr="00F261E6">
        <w:rPr>
          <w:rFonts w:cs="Arial"/>
          <w:sz w:val="26"/>
          <w:szCs w:val="26"/>
        </w:rPr>
        <w:t xml:space="preserve"> obedece </w:t>
      </w:r>
      <w:r w:rsidR="009477AC" w:rsidRPr="00F261E6">
        <w:rPr>
          <w:rFonts w:cs="Arial"/>
          <w:sz w:val="26"/>
          <w:szCs w:val="26"/>
        </w:rPr>
        <w:t xml:space="preserve">también </w:t>
      </w:r>
      <w:r w:rsidR="00F764F0" w:rsidRPr="00F261E6">
        <w:rPr>
          <w:rFonts w:cs="Arial"/>
          <w:sz w:val="26"/>
          <w:szCs w:val="26"/>
        </w:rPr>
        <w:t>a que,</w:t>
      </w:r>
      <w:r w:rsidR="00E75CC6" w:rsidRPr="00F261E6">
        <w:rPr>
          <w:rFonts w:cs="Arial"/>
          <w:sz w:val="26"/>
          <w:szCs w:val="26"/>
        </w:rPr>
        <w:t xml:space="preserve"> al </w:t>
      </w:r>
      <w:r w:rsidR="001771F9" w:rsidRPr="00F261E6">
        <w:rPr>
          <w:rFonts w:cs="Arial"/>
          <w:sz w:val="26"/>
          <w:szCs w:val="26"/>
        </w:rPr>
        <w:t>haberse omitido llevar una consulta a personas con discapacidad antes de su expedición</w:t>
      </w:r>
      <w:r w:rsidR="00E75CC6" w:rsidRPr="00F261E6">
        <w:rPr>
          <w:rFonts w:cs="Arial"/>
          <w:sz w:val="26"/>
          <w:szCs w:val="26"/>
        </w:rPr>
        <w:t>,</w:t>
      </w:r>
      <w:r w:rsidR="001771F9" w:rsidRPr="00F261E6">
        <w:rPr>
          <w:rFonts w:cs="Arial"/>
          <w:sz w:val="26"/>
          <w:szCs w:val="26"/>
        </w:rPr>
        <w:t xml:space="preserve"> se vulneró el artículo 4.3 de la Convención.</w:t>
      </w:r>
    </w:p>
    <w:p w:rsidR="0065141B" w:rsidRPr="001349C2" w:rsidRDefault="009A3318" w:rsidP="00CB5A8E">
      <w:pPr>
        <w:pStyle w:val="corte4fondo"/>
        <w:numPr>
          <w:ilvl w:val="0"/>
          <w:numId w:val="1"/>
        </w:numPr>
        <w:tabs>
          <w:tab w:val="clear" w:pos="-3"/>
          <w:tab w:val="left" w:pos="0"/>
        </w:tabs>
        <w:spacing w:after="360" w:line="360" w:lineRule="auto"/>
        <w:ind w:left="0" w:hanging="567"/>
        <w:rPr>
          <w:sz w:val="26"/>
          <w:szCs w:val="26"/>
          <w:lang w:val="es-MX"/>
        </w:rPr>
      </w:pPr>
      <w:r>
        <w:rPr>
          <w:sz w:val="26"/>
          <w:szCs w:val="26"/>
        </w:rPr>
        <w:t>No obstante</w:t>
      </w:r>
      <w:r w:rsidR="004D4588">
        <w:rPr>
          <w:sz w:val="26"/>
          <w:szCs w:val="26"/>
        </w:rPr>
        <w:t xml:space="preserve">, </w:t>
      </w:r>
      <w:r>
        <w:rPr>
          <w:rFonts w:cs="Arial"/>
          <w:sz w:val="26"/>
          <w:szCs w:val="26"/>
        </w:rPr>
        <w:t xml:space="preserve">en términos de lo dispuesto en la recién referida fracción IV del artículo 41 de la Ley Reglamentaria, la Suprema Corte de Justicia de la Nación considera que también debe declararse la </w:t>
      </w:r>
      <w:r w:rsidRPr="0039338F">
        <w:rPr>
          <w:rFonts w:cs="Arial"/>
          <w:b/>
          <w:sz w:val="26"/>
          <w:szCs w:val="26"/>
        </w:rPr>
        <w:t>invalidez,</w:t>
      </w:r>
      <w:r>
        <w:rPr>
          <w:rFonts w:cs="Arial"/>
          <w:sz w:val="26"/>
          <w:szCs w:val="26"/>
        </w:rPr>
        <w:t xml:space="preserve"> </w:t>
      </w:r>
      <w:r w:rsidRPr="00B32D02">
        <w:rPr>
          <w:rFonts w:cs="Arial"/>
          <w:b/>
          <w:sz w:val="26"/>
          <w:szCs w:val="26"/>
        </w:rPr>
        <w:t>por extensión</w:t>
      </w:r>
      <w:r>
        <w:rPr>
          <w:rFonts w:cs="Arial"/>
          <w:sz w:val="26"/>
          <w:szCs w:val="26"/>
        </w:rPr>
        <w:t>, del</w:t>
      </w:r>
      <w:r w:rsidR="0065141B">
        <w:rPr>
          <w:sz w:val="26"/>
          <w:szCs w:val="26"/>
        </w:rPr>
        <w:t xml:space="preserve"> </w:t>
      </w:r>
      <w:r w:rsidR="00874F37" w:rsidRPr="00847CBC">
        <w:rPr>
          <w:rFonts w:cs="Arial"/>
          <w:sz w:val="26"/>
          <w:szCs w:val="26"/>
        </w:rPr>
        <w:t xml:space="preserve">Decreto </w:t>
      </w:r>
      <w:r w:rsidR="00874F37" w:rsidRPr="00847CBC">
        <w:rPr>
          <w:rFonts w:cs="Arial"/>
          <w:sz w:val="26"/>
          <w:szCs w:val="26"/>
          <w:lang w:eastAsia="es-MX"/>
        </w:rPr>
        <w:t>N°</w:t>
      </w:r>
      <w:r w:rsidR="00874F37" w:rsidRPr="00847CBC">
        <w:rPr>
          <w:rFonts w:cs="Arial"/>
          <w:sz w:val="26"/>
          <w:szCs w:val="26"/>
        </w:rPr>
        <w:t xml:space="preserve"> LXVI/DRFCT/0688/2020 I D.P.</w:t>
      </w:r>
      <w:r w:rsidR="0065141B">
        <w:rPr>
          <w:sz w:val="26"/>
          <w:szCs w:val="26"/>
        </w:rPr>
        <w:t xml:space="preserve"> (</w:t>
      </w:r>
      <w:r w:rsidR="0065141B" w:rsidRPr="001349C2">
        <w:rPr>
          <w:i/>
          <w:sz w:val="26"/>
          <w:szCs w:val="26"/>
        </w:rPr>
        <w:t>supra</w:t>
      </w:r>
      <w:r w:rsidR="00CF0BB1">
        <w:rPr>
          <w:sz w:val="26"/>
          <w:szCs w:val="26"/>
        </w:rPr>
        <w:t xml:space="preserve"> párr. 5</w:t>
      </w:r>
      <w:r w:rsidR="0065141B">
        <w:rPr>
          <w:sz w:val="26"/>
          <w:szCs w:val="26"/>
        </w:rPr>
        <w:t>),</w:t>
      </w:r>
      <w:r w:rsidR="00F73C74">
        <w:rPr>
          <w:sz w:val="26"/>
          <w:szCs w:val="26"/>
        </w:rPr>
        <w:t xml:space="preserve"> publicado también en</w:t>
      </w:r>
      <w:r w:rsidR="00F73C74" w:rsidRPr="00F73C74">
        <w:rPr>
          <w:rFonts w:cs="Arial"/>
          <w:sz w:val="26"/>
          <w:szCs w:val="26"/>
        </w:rPr>
        <w:t xml:space="preserve"> </w:t>
      </w:r>
      <w:r w:rsidR="00F73C74">
        <w:rPr>
          <w:rFonts w:cs="Arial"/>
          <w:sz w:val="26"/>
          <w:szCs w:val="26"/>
        </w:rPr>
        <w:t>el Periódico Oficial del Estado de Chihuahua el</w:t>
      </w:r>
      <w:r w:rsidR="007D5367">
        <w:rPr>
          <w:rFonts w:cs="Arial"/>
          <w:sz w:val="26"/>
          <w:szCs w:val="26"/>
        </w:rPr>
        <w:t xml:space="preserve"> mismo</w:t>
      </w:r>
      <w:r w:rsidR="00F73C74">
        <w:rPr>
          <w:rFonts w:cs="Arial"/>
          <w:sz w:val="26"/>
          <w:szCs w:val="26"/>
        </w:rPr>
        <w:t xml:space="preserve"> cuatro de marzo de dos mil veinte</w:t>
      </w:r>
      <w:r w:rsidR="00CF0BB1">
        <w:rPr>
          <w:rFonts w:cs="Arial"/>
          <w:sz w:val="26"/>
          <w:szCs w:val="26"/>
        </w:rPr>
        <w:t>.</w:t>
      </w:r>
      <w:r w:rsidR="0065141B">
        <w:rPr>
          <w:sz w:val="26"/>
          <w:szCs w:val="26"/>
        </w:rPr>
        <w:t xml:space="preserve"> </w:t>
      </w:r>
      <w:r>
        <w:rPr>
          <w:rFonts w:cs="Arial"/>
          <w:sz w:val="26"/>
          <w:szCs w:val="26"/>
        </w:rPr>
        <w:t xml:space="preserve">Dicho </w:t>
      </w:r>
      <w:r w:rsidR="007D5367">
        <w:rPr>
          <w:rFonts w:cs="Arial"/>
          <w:sz w:val="26"/>
          <w:szCs w:val="26"/>
        </w:rPr>
        <w:t>instrumento</w:t>
      </w:r>
      <w:r>
        <w:rPr>
          <w:rFonts w:cs="Arial"/>
          <w:sz w:val="26"/>
          <w:szCs w:val="26"/>
        </w:rPr>
        <w:t xml:space="preserve"> ciertamente no fue señalado como norma impugnada en la presente </w:t>
      </w:r>
      <w:r w:rsidR="007D5367">
        <w:rPr>
          <w:rFonts w:cs="Arial"/>
          <w:sz w:val="26"/>
          <w:szCs w:val="26"/>
        </w:rPr>
        <w:t>acción de inconstitucionalidad</w:t>
      </w:r>
      <w:r>
        <w:rPr>
          <w:rFonts w:cs="Arial"/>
          <w:sz w:val="26"/>
          <w:szCs w:val="26"/>
        </w:rPr>
        <w:t xml:space="preserve">. Sin </w:t>
      </w:r>
      <w:r>
        <w:rPr>
          <w:rFonts w:cs="Arial"/>
          <w:sz w:val="26"/>
          <w:szCs w:val="26"/>
        </w:rPr>
        <w:lastRenderedPageBreak/>
        <w:t xml:space="preserve">embargo, dada su función accesoria como </w:t>
      </w:r>
      <w:r w:rsidR="00CE05FF">
        <w:rPr>
          <w:rFonts w:cs="Arial"/>
          <w:sz w:val="26"/>
          <w:szCs w:val="26"/>
        </w:rPr>
        <w:t>instrumento</w:t>
      </w:r>
      <w:r>
        <w:rPr>
          <w:rFonts w:cs="Arial"/>
          <w:sz w:val="26"/>
          <w:szCs w:val="26"/>
        </w:rPr>
        <w:t xml:space="preserve"> encaminado exclusivamente a</w:t>
      </w:r>
      <w:r w:rsidR="007D5367">
        <w:rPr>
          <w:rFonts w:cs="Arial"/>
          <w:sz w:val="26"/>
          <w:szCs w:val="26"/>
        </w:rPr>
        <w:t xml:space="preserve"> declarar la aprobación</w:t>
      </w:r>
      <w:r w:rsidR="00CE05FF">
        <w:rPr>
          <w:rFonts w:cs="Arial"/>
          <w:sz w:val="26"/>
          <w:szCs w:val="26"/>
        </w:rPr>
        <w:t xml:space="preserve"> de las reformas a la Constitución de Chihuahua</w:t>
      </w:r>
      <w:r w:rsidR="004419AC" w:rsidRPr="004419AC">
        <w:rPr>
          <w:sz w:val="26"/>
          <w:szCs w:val="26"/>
        </w:rPr>
        <w:t xml:space="preserve"> </w:t>
      </w:r>
      <w:r w:rsidR="0093379D">
        <w:rPr>
          <w:sz w:val="26"/>
          <w:szCs w:val="26"/>
        </w:rPr>
        <w:t xml:space="preserve">contenidas en </w:t>
      </w:r>
      <w:r w:rsidR="004419AC">
        <w:rPr>
          <w:sz w:val="26"/>
          <w:szCs w:val="26"/>
        </w:rPr>
        <w:t>el</w:t>
      </w:r>
      <w:r w:rsidR="0093379D">
        <w:rPr>
          <w:sz w:val="26"/>
          <w:szCs w:val="26"/>
        </w:rPr>
        <w:t xml:space="preserve"> diverso</w:t>
      </w:r>
      <w:r w:rsidR="004419AC">
        <w:rPr>
          <w:sz w:val="26"/>
          <w:szCs w:val="26"/>
        </w:rPr>
        <w:t xml:space="preserve"> Decreto</w:t>
      </w:r>
      <w:r w:rsidR="004419AC" w:rsidRPr="001355EE">
        <w:rPr>
          <w:rFonts w:cs="Arial"/>
          <w:sz w:val="26"/>
          <w:szCs w:val="26"/>
        </w:rPr>
        <w:t xml:space="preserve"> </w:t>
      </w:r>
      <w:r w:rsidR="004419AC">
        <w:rPr>
          <w:rFonts w:cs="Arial"/>
          <w:sz w:val="26"/>
          <w:szCs w:val="26"/>
        </w:rPr>
        <w:t xml:space="preserve">N° </w:t>
      </w:r>
      <w:r w:rsidR="004419AC" w:rsidRPr="00B825C4">
        <w:rPr>
          <w:rFonts w:cs="Arial"/>
          <w:sz w:val="26"/>
          <w:szCs w:val="26"/>
        </w:rPr>
        <w:t>LXVI/RFCNT/0512/2019 I P.O.</w:t>
      </w:r>
      <w:r w:rsidR="003B4D0A" w:rsidRPr="00894B94">
        <w:rPr>
          <w:rStyle w:val="Refdenotaalpie"/>
          <w:rFonts w:cs="Arial"/>
          <w:sz w:val="26"/>
          <w:szCs w:val="26"/>
          <w:lang w:eastAsia="es-MX"/>
        </w:rPr>
        <w:footnoteReference w:id="101"/>
      </w:r>
      <w:r>
        <w:rPr>
          <w:rFonts w:cs="Arial"/>
          <w:sz w:val="26"/>
          <w:szCs w:val="26"/>
        </w:rPr>
        <w:t>,</w:t>
      </w:r>
      <w:r w:rsidR="0093379D">
        <w:rPr>
          <w:sz w:val="26"/>
          <w:szCs w:val="26"/>
        </w:rPr>
        <w:t xml:space="preserve"> su validez depende completamente de la de éste</w:t>
      </w:r>
      <w:r>
        <w:rPr>
          <w:rFonts w:cs="Arial"/>
          <w:sz w:val="26"/>
          <w:szCs w:val="26"/>
        </w:rPr>
        <w:t xml:space="preserve">. </w:t>
      </w:r>
      <w:r>
        <w:rPr>
          <w:rFonts w:eastAsia="Arial" w:cs="Arial"/>
          <w:sz w:val="26"/>
          <w:szCs w:val="26"/>
        </w:rPr>
        <w:t>E</w:t>
      </w:r>
      <w:r w:rsidRPr="000959B6">
        <w:rPr>
          <w:rFonts w:eastAsia="Arial" w:cs="Arial"/>
          <w:sz w:val="26"/>
          <w:szCs w:val="26"/>
        </w:rPr>
        <w:t>n línea con la jurisprude</w:t>
      </w:r>
      <w:r>
        <w:rPr>
          <w:rFonts w:eastAsia="Arial" w:cs="Arial"/>
          <w:sz w:val="26"/>
          <w:szCs w:val="26"/>
        </w:rPr>
        <w:t>ncia del Tribunal Pleno sobre invalidez de normas por extensión o indirecta</w:t>
      </w:r>
      <w:r w:rsidRPr="00894B94">
        <w:rPr>
          <w:rStyle w:val="Refdenotaalpie"/>
          <w:rFonts w:eastAsia="Arial" w:cs="Arial"/>
          <w:sz w:val="26"/>
          <w:szCs w:val="26"/>
        </w:rPr>
        <w:footnoteReference w:id="102"/>
      </w:r>
      <w:r w:rsidRPr="000959B6">
        <w:rPr>
          <w:rFonts w:eastAsia="Arial" w:cs="Arial"/>
          <w:sz w:val="26"/>
          <w:szCs w:val="26"/>
        </w:rPr>
        <w:t>,</w:t>
      </w:r>
      <w:r>
        <w:rPr>
          <w:rFonts w:eastAsia="Arial" w:cs="Arial"/>
          <w:sz w:val="26"/>
          <w:szCs w:val="26"/>
        </w:rPr>
        <w:t xml:space="preserve"> </w:t>
      </w:r>
      <w:r>
        <w:rPr>
          <w:rFonts w:cs="Arial"/>
          <w:sz w:val="26"/>
          <w:szCs w:val="26"/>
        </w:rPr>
        <w:t xml:space="preserve">si el único objeto del </w:t>
      </w:r>
      <w:r w:rsidR="0093379D">
        <w:rPr>
          <w:rFonts w:cs="Arial"/>
          <w:sz w:val="26"/>
          <w:szCs w:val="26"/>
        </w:rPr>
        <w:t>instrumento</w:t>
      </w:r>
      <w:r w:rsidR="007A70E0">
        <w:rPr>
          <w:rFonts w:cs="Arial"/>
          <w:sz w:val="26"/>
          <w:szCs w:val="26"/>
        </w:rPr>
        <w:t xml:space="preserve"> legislativo</w:t>
      </w:r>
      <w:r>
        <w:rPr>
          <w:rFonts w:cs="Arial"/>
          <w:sz w:val="26"/>
          <w:szCs w:val="26"/>
        </w:rPr>
        <w:t xml:space="preserve"> en comento era </w:t>
      </w:r>
      <w:r w:rsidR="0093379D">
        <w:rPr>
          <w:rFonts w:cs="Arial"/>
          <w:sz w:val="26"/>
          <w:szCs w:val="26"/>
        </w:rPr>
        <w:t>declarar la aprobación</w:t>
      </w:r>
      <w:r>
        <w:rPr>
          <w:rFonts w:cs="Arial"/>
          <w:sz w:val="26"/>
          <w:szCs w:val="26"/>
        </w:rPr>
        <w:t xml:space="preserve"> de</w:t>
      </w:r>
      <w:r w:rsidR="0093379D">
        <w:rPr>
          <w:rFonts w:cs="Arial"/>
          <w:sz w:val="26"/>
          <w:szCs w:val="26"/>
        </w:rPr>
        <w:t xml:space="preserve"> las reformas previstas en un decreto</w:t>
      </w:r>
      <w:r>
        <w:rPr>
          <w:rFonts w:cs="Arial"/>
          <w:sz w:val="26"/>
          <w:szCs w:val="26"/>
        </w:rPr>
        <w:t xml:space="preserve"> que</w:t>
      </w:r>
      <w:r w:rsidR="0093379D" w:rsidRPr="0093379D">
        <w:rPr>
          <w:rFonts w:cs="Arial"/>
          <w:sz w:val="26"/>
          <w:szCs w:val="26"/>
        </w:rPr>
        <w:t xml:space="preserve"> </w:t>
      </w:r>
      <w:r w:rsidR="0093379D">
        <w:rPr>
          <w:rFonts w:cs="Arial"/>
          <w:sz w:val="26"/>
          <w:szCs w:val="26"/>
        </w:rPr>
        <w:t>enseguida será declarado inválido</w:t>
      </w:r>
      <w:r>
        <w:rPr>
          <w:rFonts w:cs="Arial"/>
          <w:sz w:val="26"/>
          <w:szCs w:val="26"/>
        </w:rPr>
        <w:t xml:space="preserve"> por contravenir materialmente la Constitución Federal</w:t>
      </w:r>
      <w:r w:rsidR="0093379D">
        <w:rPr>
          <w:rFonts w:cs="Arial"/>
          <w:sz w:val="26"/>
          <w:szCs w:val="26"/>
        </w:rPr>
        <w:t xml:space="preserve"> y el Convenio 169 de la OIT</w:t>
      </w:r>
      <w:r>
        <w:rPr>
          <w:rFonts w:cs="Arial"/>
          <w:sz w:val="26"/>
          <w:szCs w:val="26"/>
        </w:rPr>
        <w:t>, entonces el contenido de aquél descansa por completo en el de ést</w:t>
      </w:r>
      <w:r w:rsidR="0093379D">
        <w:rPr>
          <w:rFonts w:cs="Arial"/>
          <w:sz w:val="26"/>
          <w:szCs w:val="26"/>
        </w:rPr>
        <w:t>e</w:t>
      </w:r>
      <w:r>
        <w:rPr>
          <w:rFonts w:cs="Arial"/>
          <w:sz w:val="26"/>
          <w:szCs w:val="26"/>
        </w:rPr>
        <w:t xml:space="preserve"> y, por ende, debe seguir su misma suerte.</w:t>
      </w:r>
    </w:p>
    <w:p w:rsidR="00CB5A8E" w:rsidRDefault="00CB5A8E" w:rsidP="00CB5A8E">
      <w:pPr>
        <w:pStyle w:val="corte4fondo"/>
        <w:numPr>
          <w:ilvl w:val="0"/>
          <w:numId w:val="1"/>
        </w:numPr>
        <w:tabs>
          <w:tab w:val="clear" w:pos="-3"/>
          <w:tab w:val="left" w:pos="0"/>
        </w:tabs>
        <w:spacing w:after="360" w:line="360" w:lineRule="auto"/>
        <w:ind w:left="0" w:hanging="567"/>
        <w:rPr>
          <w:b/>
          <w:sz w:val="26"/>
          <w:szCs w:val="26"/>
          <w:lang w:val="es-MX"/>
        </w:rPr>
      </w:pPr>
      <w:r w:rsidRPr="00154C8E">
        <w:rPr>
          <w:rFonts w:cs="Arial"/>
          <w:b/>
          <w:sz w:val="26"/>
          <w:szCs w:val="26"/>
        </w:rPr>
        <w:t xml:space="preserve">Momento en el que surtirán efectos las declaraciones de invalidez. </w:t>
      </w:r>
      <w:r>
        <w:rPr>
          <w:rFonts w:cs="Arial"/>
          <w:sz w:val="26"/>
          <w:szCs w:val="26"/>
        </w:rPr>
        <w:t>En términos de lo dispuesto en</w:t>
      </w:r>
      <w:r w:rsidRPr="00154C8E">
        <w:rPr>
          <w:rFonts w:cs="Arial"/>
          <w:sz w:val="26"/>
          <w:szCs w:val="26"/>
        </w:rPr>
        <w:t xml:space="preserve"> el artículo 45, párrafo primero, de la Ley Reglamentaria</w:t>
      </w:r>
      <w:r>
        <w:rPr>
          <w:rFonts w:cs="Arial"/>
          <w:sz w:val="26"/>
          <w:szCs w:val="26"/>
          <w:vertAlign w:val="superscript"/>
          <w:lang w:eastAsia="es-ES"/>
        </w:rPr>
        <w:footnoteReference w:id="103"/>
      </w:r>
      <w:r w:rsidRPr="00154C8E">
        <w:rPr>
          <w:rFonts w:cs="Arial"/>
          <w:sz w:val="26"/>
          <w:szCs w:val="26"/>
        </w:rPr>
        <w:t>, las declaraciones de invalidez surtirán efectos</w:t>
      </w:r>
      <w:r w:rsidRPr="00546817">
        <w:rPr>
          <w:rFonts w:cs="Arial"/>
          <w:sz w:val="26"/>
          <w:szCs w:val="26"/>
        </w:rPr>
        <w:t xml:space="preserve"> </w:t>
      </w:r>
      <w:r>
        <w:rPr>
          <w:rFonts w:cs="Arial"/>
          <w:sz w:val="26"/>
          <w:szCs w:val="26"/>
        </w:rPr>
        <w:t>a partir de la fecha que determine la Suprema Corte.</w:t>
      </w:r>
    </w:p>
    <w:p w:rsidR="00CB5A8E" w:rsidRDefault="00CB5A8E" w:rsidP="00CB5A8E">
      <w:pPr>
        <w:pStyle w:val="corte4fondo"/>
        <w:numPr>
          <w:ilvl w:val="0"/>
          <w:numId w:val="1"/>
        </w:numPr>
        <w:tabs>
          <w:tab w:val="clear" w:pos="-3"/>
          <w:tab w:val="left" w:pos="0"/>
        </w:tabs>
        <w:spacing w:after="360" w:line="360" w:lineRule="auto"/>
        <w:ind w:left="0" w:hanging="567"/>
        <w:rPr>
          <w:b/>
          <w:sz w:val="26"/>
          <w:szCs w:val="26"/>
          <w:lang w:val="es-MX"/>
        </w:rPr>
      </w:pPr>
      <w:r>
        <w:rPr>
          <w:rFonts w:cs="Arial"/>
          <w:sz w:val="26"/>
          <w:szCs w:val="26"/>
        </w:rPr>
        <w:t>E</w:t>
      </w:r>
      <w:r w:rsidRPr="00154C8E">
        <w:rPr>
          <w:rFonts w:cs="Arial"/>
          <w:sz w:val="26"/>
          <w:szCs w:val="26"/>
        </w:rPr>
        <w:t xml:space="preserve">n la jurisprudencia P./J.84/2007 de rubro </w:t>
      </w:r>
      <w:r w:rsidRPr="00154C8E">
        <w:rPr>
          <w:rFonts w:cs="Arial"/>
          <w:b/>
          <w:sz w:val="26"/>
          <w:szCs w:val="26"/>
        </w:rPr>
        <w:t>“ACCIÓN DE INCONSTITUCIONALIDAD. LA SUPREMA CORTE DE JUSTICIA DE LA NACIÓN CUENTA CON AMPLIAS FACULTADES PARA DETERMINAR LOS EFECTOS DE LAS SENTENCIAS ESTIMATORIAS”</w:t>
      </w:r>
      <w:r w:rsidRPr="00894B94">
        <w:rPr>
          <w:rStyle w:val="Refdenotaalpie"/>
          <w:rFonts w:eastAsia="Calibri"/>
          <w:sz w:val="26"/>
          <w:szCs w:val="26"/>
        </w:rPr>
        <w:footnoteReference w:id="104"/>
      </w:r>
      <w:r w:rsidRPr="00154C8E">
        <w:rPr>
          <w:rFonts w:cs="Arial"/>
          <w:sz w:val="26"/>
          <w:szCs w:val="26"/>
        </w:rPr>
        <w:t>, este Tribunal Pleno estableció que sus</w:t>
      </w:r>
      <w:r w:rsidRPr="00154C8E">
        <w:rPr>
          <w:rFonts w:cs="Arial"/>
          <w:sz w:val="26"/>
          <w:szCs w:val="26"/>
          <w:lang w:val="es-ES"/>
        </w:rPr>
        <w:t xml:space="preserve"> facultades para determinar los efectos de las sentencias estimatorias que emite, por un lado,</w:t>
      </w:r>
      <w:r w:rsidRPr="00154C8E">
        <w:rPr>
          <w:rFonts w:cs="Arial"/>
          <w:sz w:val="26"/>
          <w:szCs w:val="26"/>
        </w:rPr>
        <w:t xml:space="preserve"> comprenden la posibilidad de fijar </w:t>
      </w:r>
      <w:r w:rsidRPr="00154C8E">
        <w:rPr>
          <w:rFonts w:cs="Arial"/>
          <w:i/>
          <w:sz w:val="26"/>
          <w:szCs w:val="26"/>
        </w:rPr>
        <w:t xml:space="preserve">“todos aquellos elementos necesarios para su plena eficacia en el ámbito que corresponda” </w:t>
      </w:r>
      <w:r w:rsidRPr="00154C8E">
        <w:rPr>
          <w:rFonts w:cs="Arial"/>
          <w:sz w:val="26"/>
          <w:szCs w:val="26"/>
          <w:lang w:val="es-ES"/>
        </w:rPr>
        <w:t xml:space="preserve">y por otro lado, deben respetar el sistema jurídico </w:t>
      </w:r>
      <w:r w:rsidRPr="00154C8E">
        <w:rPr>
          <w:rFonts w:cs="Arial"/>
          <w:sz w:val="26"/>
          <w:szCs w:val="26"/>
          <w:lang w:val="es-ES"/>
        </w:rPr>
        <w:lastRenderedPageBreak/>
        <w:t xml:space="preserve">constitucional del cual derivan. </w:t>
      </w:r>
      <w:r w:rsidRPr="00154C8E">
        <w:rPr>
          <w:rFonts w:cs="Arial"/>
          <w:sz w:val="26"/>
          <w:szCs w:val="26"/>
        </w:rPr>
        <w:t>Asimismo</w:t>
      </w:r>
      <w:r w:rsidRPr="00154C8E">
        <w:rPr>
          <w:rFonts w:cs="Arial"/>
          <w:sz w:val="26"/>
          <w:szCs w:val="26"/>
          <w:lang w:val="es-ES"/>
        </w:rPr>
        <w:t>, sostuvo que los efectos que imprima a sus sentencias estimatorias en la vía de acción de inconstitucionalidad deben, de manera central, salvaguardar de manera eficaz la norma constitucional violada, aunque al mismo tiempo, se debe evitar generar una situación de mayor perjuicio o de mayor incertidumbre jurídica que la ocasionada por las normas impugnadas, así como afectar injustificadamente el ámbito decisorio establecido constitucionalmente a favor de otros poderes públicos (federales, estatales y/o municipales).</w:t>
      </w:r>
    </w:p>
    <w:p w:rsidR="00CB5A8E" w:rsidRDefault="00CB5A8E" w:rsidP="00CB5A8E">
      <w:pPr>
        <w:pStyle w:val="corte4fondo"/>
        <w:numPr>
          <w:ilvl w:val="0"/>
          <w:numId w:val="1"/>
        </w:numPr>
        <w:tabs>
          <w:tab w:val="clear" w:pos="-3"/>
          <w:tab w:val="left" w:pos="0"/>
        </w:tabs>
        <w:spacing w:after="360" w:line="360" w:lineRule="auto"/>
        <w:ind w:left="0" w:hanging="567"/>
        <w:rPr>
          <w:b/>
          <w:sz w:val="26"/>
          <w:szCs w:val="26"/>
          <w:lang w:val="es-MX"/>
        </w:rPr>
      </w:pPr>
      <w:r w:rsidRPr="00154C8E">
        <w:rPr>
          <w:rFonts w:cs="Arial"/>
          <w:sz w:val="26"/>
          <w:szCs w:val="26"/>
        </w:rPr>
        <w:t xml:space="preserve">Lo anterior pone en claro que </w:t>
      </w:r>
      <w:r w:rsidRPr="00154C8E">
        <w:rPr>
          <w:rFonts w:cs="Arial"/>
          <w:sz w:val="26"/>
          <w:szCs w:val="26"/>
          <w:lang w:val="es-ES"/>
        </w:rPr>
        <w:t xml:space="preserve">este Tribunal Pleno cuenta con un amplio margen de apreciación para salvaguardar de manera eficaz la norma constitucional </w:t>
      </w:r>
      <w:r w:rsidRPr="00154C8E">
        <w:rPr>
          <w:rFonts w:cs="Arial"/>
          <w:sz w:val="26"/>
          <w:szCs w:val="26"/>
        </w:rPr>
        <w:t>violada</w:t>
      </w:r>
      <w:r w:rsidRPr="00154C8E">
        <w:rPr>
          <w:rFonts w:cs="Arial"/>
          <w:sz w:val="26"/>
          <w:szCs w:val="26"/>
          <w:lang w:val="es-ES"/>
        </w:rPr>
        <w:t xml:space="preserve">. En ejercicio de tal amplitud competencial, al definir los efectos </w:t>
      </w:r>
      <w:r w:rsidRPr="00154C8E">
        <w:rPr>
          <w:rFonts w:cs="Arial"/>
          <w:sz w:val="26"/>
          <w:szCs w:val="26"/>
        </w:rPr>
        <w:t>de las sentencias estimatorias que ha generado</w:t>
      </w:r>
      <w:r w:rsidRPr="00154C8E">
        <w:rPr>
          <w:rFonts w:cs="Arial"/>
          <w:sz w:val="26"/>
          <w:szCs w:val="26"/>
          <w:lang w:val="es-ES"/>
        </w:rPr>
        <w:t xml:space="preserve">, esta </w:t>
      </w:r>
      <w:r w:rsidRPr="00154C8E">
        <w:rPr>
          <w:rFonts w:cs="Arial"/>
          <w:sz w:val="26"/>
          <w:szCs w:val="26"/>
        </w:rPr>
        <w:t xml:space="preserve">Suprema Corte de Justicia de la Nación ha determinado que estos: </w:t>
      </w:r>
      <w:r w:rsidRPr="00B37804">
        <w:rPr>
          <w:rFonts w:cs="Arial"/>
          <w:sz w:val="26"/>
          <w:szCs w:val="26"/>
        </w:rPr>
        <w:t>a)</w:t>
      </w:r>
      <w:r w:rsidRPr="00154C8E">
        <w:rPr>
          <w:rFonts w:cs="Arial"/>
          <w:sz w:val="26"/>
          <w:szCs w:val="26"/>
        </w:rPr>
        <w:t xml:space="preserve"> consistan únicamente en la expulsión de las porciones normativas que </w:t>
      </w:r>
      <w:r w:rsidRPr="00154C8E">
        <w:rPr>
          <w:rFonts w:cs="Arial"/>
          <w:i/>
          <w:sz w:val="26"/>
          <w:szCs w:val="26"/>
        </w:rPr>
        <w:t>específicamente</w:t>
      </w:r>
      <w:r w:rsidRPr="00154C8E">
        <w:rPr>
          <w:rFonts w:cs="Arial"/>
          <w:sz w:val="26"/>
          <w:szCs w:val="26"/>
        </w:rPr>
        <w:t xml:space="preserve"> presentan vicios de inconstitucionalidad (a fin de no afectar injustificadamente el ordenamiento legal impugnado); </w:t>
      </w:r>
      <w:r w:rsidRPr="00B37804">
        <w:rPr>
          <w:rFonts w:cs="Arial"/>
          <w:sz w:val="26"/>
          <w:szCs w:val="26"/>
        </w:rPr>
        <w:t>b)</w:t>
      </w:r>
      <w:r w:rsidRPr="00154C8E">
        <w:rPr>
          <w:rFonts w:cs="Arial"/>
          <w:b/>
          <w:sz w:val="26"/>
          <w:szCs w:val="26"/>
        </w:rPr>
        <w:t xml:space="preserve"> </w:t>
      </w:r>
      <w:r w:rsidRPr="00154C8E">
        <w:rPr>
          <w:rFonts w:cs="Arial"/>
          <w:sz w:val="26"/>
          <w:szCs w:val="26"/>
        </w:rPr>
        <w:t xml:space="preserve">se extiendan a la expulsión de todo un conjunto armónico de normas dentro del ordenamiento legal impugnado (atendiendo a las dificultades que implicaría su desarmonización o expulsión fragmentada); </w:t>
      </w:r>
      <w:r w:rsidRPr="00B37804">
        <w:rPr>
          <w:rFonts w:cs="Arial"/>
          <w:sz w:val="26"/>
          <w:szCs w:val="26"/>
        </w:rPr>
        <w:t>c)</w:t>
      </w:r>
      <w:r w:rsidRPr="00154C8E">
        <w:rPr>
          <w:rFonts w:cs="Arial"/>
          <w:sz w:val="26"/>
          <w:szCs w:val="26"/>
        </w:rPr>
        <w:t xml:space="preserve"> se posterguen por un lapso razonable, o </w:t>
      </w:r>
      <w:r w:rsidRPr="00B37804">
        <w:rPr>
          <w:rFonts w:cs="Arial"/>
          <w:sz w:val="26"/>
          <w:szCs w:val="26"/>
        </w:rPr>
        <w:t>d)</w:t>
      </w:r>
      <w:r w:rsidRPr="00154C8E">
        <w:rPr>
          <w:rFonts w:cs="Arial"/>
          <w:sz w:val="26"/>
          <w:szCs w:val="26"/>
        </w:rPr>
        <w:t xml:space="preserve"> inclusive, generen la reviviscencia de las normas vigentes con anterioridad a las expulsadas del ordenamiento jurídico, para garantizar un mínimo indispensable de certeza jurídica (por ejemplo, en materia electoral).</w:t>
      </w:r>
    </w:p>
    <w:p w:rsidR="00CB5A8E" w:rsidRPr="00154C8E" w:rsidRDefault="00CB5A8E" w:rsidP="00CB5A8E">
      <w:pPr>
        <w:pStyle w:val="corte4fondo"/>
        <w:numPr>
          <w:ilvl w:val="0"/>
          <w:numId w:val="1"/>
        </w:numPr>
        <w:tabs>
          <w:tab w:val="clear" w:pos="-3"/>
          <w:tab w:val="left" w:pos="0"/>
        </w:tabs>
        <w:spacing w:after="360" w:line="360" w:lineRule="auto"/>
        <w:ind w:left="0" w:hanging="567"/>
        <w:rPr>
          <w:b/>
          <w:sz w:val="26"/>
          <w:szCs w:val="26"/>
          <w:lang w:val="es-MX"/>
        </w:rPr>
      </w:pPr>
      <w:r w:rsidRPr="00154C8E">
        <w:rPr>
          <w:rFonts w:cs="Arial"/>
          <w:sz w:val="26"/>
          <w:szCs w:val="26"/>
        </w:rPr>
        <w:t xml:space="preserve">A partir de las anteriores consideraciones, el Tribunal Pleno determina que la declaración de invalidez de los </w:t>
      </w:r>
      <w:r>
        <w:rPr>
          <w:rFonts w:cs="Arial"/>
          <w:sz w:val="26"/>
          <w:szCs w:val="26"/>
        </w:rPr>
        <w:t>d</w:t>
      </w:r>
      <w:r w:rsidRPr="00154C8E">
        <w:rPr>
          <w:rFonts w:cs="Arial"/>
          <w:sz w:val="26"/>
          <w:szCs w:val="26"/>
        </w:rPr>
        <w:t xml:space="preserve">ecretos </w:t>
      </w:r>
      <w:r>
        <w:rPr>
          <w:rFonts w:cs="Arial"/>
          <w:sz w:val="26"/>
          <w:szCs w:val="26"/>
        </w:rPr>
        <w:t>impugnados</w:t>
      </w:r>
      <w:r w:rsidRPr="00154C8E">
        <w:rPr>
          <w:rFonts w:cs="Arial"/>
          <w:sz w:val="26"/>
          <w:szCs w:val="26"/>
        </w:rPr>
        <w:t xml:space="preserve"> surtirá efectos a </w:t>
      </w:r>
      <w:r w:rsidR="004C0234">
        <w:rPr>
          <w:rFonts w:cs="Arial"/>
          <w:sz w:val="26"/>
          <w:szCs w:val="26"/>
        </w:rPr>
        <w:t>los</w:t>
      </w:r>
      <w:r w:rsidRPr="00154C8E">
        <w:rPr>
          <w:rFonts w:cs="Arial"/>
          <w:sz w:val="26"/>
          <w:szCs w:val="26"/>
        </w:rPr>
        <w:t xml:space="preserve"> </w:t>
      </w:r>
      <w:r w:rsidR="004C0234" w:rsidRPr="004C0234">
        <w:rPr>
          <w:rFonts w:cs="Arial"/>
          <w:b/>
          <w:sz w:val="26"/>
          <w:szCs w:val="26"/>
        </w:rPr>
        <w:t>doce meses siguientes</w:t>
      </w:r>
      <w:r w:rsidRPr="00154C8E">
        <w:rPr>
          <w:rFonts w:cs="Arial"/>
          <w:b/>
          <w:sz w:val="26"/>
          <w:szCs w:val="26"/>
        </w:rPr>
        <w:t xml:space="preserve"> a</w:t>
      </w:r>
      <w:r w:rsidR="005E2102">
        <w:rPr>
          <w:rFonts w:cs="Arial"/>
          <w:b/>
          <w:sz w:val="26"/>
          <w:szCs w:val="26"/>
        </w:rPr>
        <w:t xml:space="preserve"> la</w:t>
      </w:r>
      <w:r w:rsidRPr="00154C8E">
        <w:rPr>
          <w:rFonts w:cs="Arial"/>
          <w:b/>
          <w:sz w:val="26"/>
          <w:szCs w:val="26"/>
        </w:rPr>
        <w:t xml:space="preserve"> </w:t>
      </w:r>
      <w:r w:rsidR="009475E2" w:rsidRPr="00030AA2">
        <w:rPr>
          <w:rFonts w:cs="Arial"/>
          <w:b/>
          <w:sz w:val="26"/>
          <w:szCs w:val="26"/>
        </w:rPr>
        <w:t>notifica</w:t>
      </w:r>
      <w:r w:rsidR="005E2102" w:rsidRPr="00030AA2">
        <w:rPr>
          <w:rFonts w:cs="Arial"/>
          <w:b/>
          <w:sz w:val="26"/>
          <w:szCs w:val="26"/>
        </w:rPr>
        <w:t>ción de</w:t>
      </w:r>
      <w:r w:rsidRPr="00030AA2">
        <w:rPr>
          <w:rFonts w:cs="Arial"/>
          <w:b/>
          <w:sz w:val="26"/>
          <w:szCs w:val="26"/>
        </w:rPr>
        <w:t xml:space="preserve"> l</w:t>
      </w:r>
      <w:r w:rsidR="00A34707" w:rsidRPr="00030AA2">
        <w:rPr>
          <w:rFonts w:cs="Arial"/>
          <w:b/>
          <w:sz w:val="26"/>
          <w:szCs w:val="26"/>
        </w:rPr>
        <w:t>os resolutivos de l</w:t>
      </w:r>
      <w:r w:rsidRPr="00030AA2">
        <w:rPr>
          <w:rFonts w:cs="Arial"/>
          <w:b/>
          <w:sz w:val="26"/>
          <w:szCs w:val="26"/>
        </w:rPr>
        <w:t xml:space="preserve">a presente sentencia </w:t>
      </w:r>
      <w:r w:rsidR="00A34707" w:rsidRPr="00030AA2">
        <w:rPr>
          <w:rFonts w:cs="Arial"/>
          <w:b/>
          <w:sz w:val="26"/>
          <w:szCs w:val="26"/>
        </w:rPr>
        <w:t>al Congreso del Estado de Chihuahua</w:t>
      </w:r>
      <w:r w:rsidRPr="00030AA2">
        <w:rPr>
          <w:rFonts w:cs="Arial"/>
          <w:sz w:val="26"/>
          <w:szCs w:val="26"/>
        </w:rPr>
        <w:t>.</w:t>
      </w:r>
      <w:r w:rsidRPr="00154C8E">
        <w:rPr>
          <w:rFonts w:cs="Arial"/>
          <w:sz w:val="26"/>
          <w:szCs w:val="26"/>
        </w:rPr>
        <w:t xml:space="preserve"> El motivo de este plazo es que no se prive </w:t>
      </w:r>
      <w:r w:rsidR="00B36CFC">
        <w:rPr>
          <w:rFonts w:cs="Arial"/>
          <w:sz w:val="26"/>
          <w:szCs w:val="26"/>
        </w:rPr>
        <w:t xml:space="preserve">a los pueblos y comunidades indígenas, ni </w:t>
      </w:r>
      <w:r w:rsidRPr="00154C8E">
        <w:rPr>
          <w:rFonts w:cs="Arial"/>
          <w:sz w:val="26"/>
          <w:szCs w:val="26"/>
        </w:rPr>
        <w:t xml:space="preserve">a las personas con discapacidad incluidos en </w:t>
      </w:r>
      <w:r w:rsidR="00B36CFC">
        <w:rPr>
          <w:rFonts w:cs="Arial"/>
          <w:sz w:val="26"/>
          <w:szCs w:val="26"/>
        </w:rPr>
        <w:t>los decretos</w:t>
      </w:r>
      <w:r w:rsidRPr="00154C8E">
        <w:rPr>
          <w:rFonts w:cs="Arial"/>
          <w:sz w:val="26"/>
          <w:szCs w:val="26"/>
        </w:rPr>
        <w:t xml:space="preserve"> que se declara</w:t>
      </w:r>
      <w:r w:rsidR="00B36CFC">
        <w:rPr>
          <w:rFonts w:cs="Arial"/>
          <w:sz w:val="26"/>
          <w:szCs w:val="26"/>
        </w:rPr>
        <w:t>n</w:t>
      </w:r>
      <w:r w:rsidRPr="00154C8E">
        <w:rPr>
          <w:rFonts w:cs="Arial"/>
          <w:sz w:val="26"/>
          <w:szCs w:val="26"/>
        </w:rPr>
        <w:t xml:space="preserve"> </w:t>
      </w:r>
      <w:r w:rsidR="00B36CFC" w:rsidRPr="00154C8E">
        <w:rPr>
          <w:rFonts w:cs="Arial"/>
          <w:sz w:val="26"/>
          <w:szCs w:val="26"/>
        </w:rPr>
        <w:t>inválid</w:t>
      </w:r>
      <w:r w:rsidR="00B36CFC">
        <w:rPr>
          <w:rFonts w:cs="Arial"/>
          <w:sz w:val="26"/>
          <w:szCs w:val="26"/>
        </w:rPr>
        <w:t>os</w:t>
      </w:r>
      <w:r w:rsidRPr="00154C8E">
        <w:rPr>
          <w:rFonts w:cs="Arial"/>
          <w:sz w:val="26"/>
          <w:szCs w:val="26"/>
        </w:rPr>
        <w:t>, de los posibles efectos benéficos de la</w:t>
      </w:r>
      <w:r>
        <w:rPr>
          <w:rFonts w:cs="Arial"/>
          <w:sz w:val="26"/>
          <w:szCs w:val="26"/>
        </w:rPr>
        <w:t>s</w:t>
      </w:r>
      <w:r w:rsidRPr="00154C8E">
        <w:rPr>
          <w:rFonts w:cs="Arial"/>
          <w:sz w:val="26"/>
          <w:szCs w:val="26"/>
        </w:rPr>
        <w:t xml:space="preserve"> norma</w:t>
      </w:r>
      <w:r>
        <w:rPr>
          <w:rFonts w:cs="Arial"/>
          <w:sz w:val="26"/>
          <w:szCs w:val="26"/>
        </w:rPr>
        <w:t>s</w:t>
      </w:r>
      <w:r w:rsidRPr="00154C8E">
        <w:rPr>
          <w:rFonts w:cs="Arial"/>
          <w:sz w:val="26"/>
          <w:szCs w:val="26"/>
        </w:rPr>
        <w:t xml:space="preserve"> sin permitir al Congreso de </w:t>
      </w:r>
      <w:r>
        <w:rPr>
          <w:rFonts w:cs="Arial"/>
          <w:sz w:val="26"/>
          <w:szCs w:val="26"/>
        </w:rPr>
        <w:t>Chihuahua</w:t>
      </w:r>
      <w:r w:rsidRPr="00154C8E">
        <w:rPr>
          <w:rFonts w:cs="Arial"/>
          <w:sz w:val="26"/>
          <w:szCs w:val="26"/>
        </w:rPr>
        <w:t xml:space="preserve"> emitir una nueva medida que atienda a las consideraciones dispuestas en la presente ejecutoria.</w:t>
      </w:r>
      <w:r>
        <w:rPr>
          <w:rFonts w:cs="Arial"/>
          <w:sz w:val="26"/>
          <w:szCs w:val="26"/>
        </w:rPr>
        <w:t xml:space="preserve"> Simila</w:t>
      </w:r>
      <w:r w:rsidR="004B4711">
        <w:rPr>
          <w:rFonts w:cs="Arial"/>
          <w:sz w:val="26"/>
          <w:szCs w:val="26"/>
        </w:rPr>
        <w:t xml:space="preserve">res decisiones </w:t>
      </w:r>
      <w:r w:rsidR="004B4711">
        <w:rPr>
          <w:rFonts w:cs="Arial"/>
          <w:sz w:val="26"/>
          <w:szCs w:val="26"/>
        </w:rPr>
        <w:lastRenderedPageBreak/>
        <w:t xml:space="preserve">se tomaron en </w:t>
      </w:r>
      <w:r w:rsidR="00AD6C8E" w:rsidRPr="009E4AEC">
        <w:rPr>
          <w:rFonts w:cs="Arial"/>
          <w:sz w:val="26"/>
          <w:szCs w:val="26"/>
        </w:rPr>
        <w:t>la</w:t>
      </w:r>
      <w:r w:rsidR="00AD6C8E" w:rsidRPr="00594DB4">
        <w:rPr>
          <w:rFonts w:cs="Arial"/>
          <w:b/>
          <w:sz w:val="26"/>
          <w:szCs w:val="26"/>
        </w:rPr>
        <w:t xml:space="preserve"> acción de inconstitucionalidad 68/2018</w:t>
      </w:r>
      <w:r w:rsidR="00AD6C8E" w:rsidRPr="00894B94">
        <w:rPr>
          <w:rStyle w:val="Refdenotaalpie"/>
          <w:rFonts w:cs="Arial"/>
          <w:sz w:val="26"/>
          <w:szCs w:val="26"/>
          <w:lang w:val="es-MX"/>
        </w:rPr>
        <w:footnoteReference w:id="105"/>
      </w:r>
      <w:r w:rsidR="004B4711">
        <w:rPr>
          <w:rFonts w:cs="Arial"/>
          <w:sz w:val="26"/>
          <w:szCs w:val="26"/>
        </w:rPr>
        <w:t>,</w:t>
      </w:r>
      <w:r w:rsidR="00AD6C8E" w:rsidRPr="00AD6C8E">
        <w:rPr>
          <w:rFonts w:cs="Arial"/>
          <w:sz w:val="26"/>
          <w:szCs w:val="26"/>
        </w:rPr>
        <w:t xml:space="preserve"> </w:t>
      </w:r>
      <w:r w:rsidR="00AD6C8E">
        <w:rPr>
          <w:rFonts w:cs="Arial"/>
          <w:sz w:val="26"/>
          <w:szCs w:val="26"/>
        </w:rPr>
        <w:t xml:space="preserve">la </w:t>
      </w:r>
      <w:r w:rsidR="00AD6C8E" w:rsidRPr="00594DB4">
        <w:rPr>
          <w:rFonts w:cs="Arial"/>
          <w:b/>
          <w:sz w:val="26"/>
          <w:szCs w:val="26"/>
        </w:rPr>
        <w:t>acción de inconstitucionalidad 1/2017</w:t>
      </w:r>
      <w:r w:rsidR="00AD6C8E" w:rsidRPr="00894B94">
        <w:rPr>
          <w:rStyle w:val="Refdenotaalpie"/>
          <w:rFonts w:cs="Arial"/>
          <w:sz w:val="26"/>
          <w:szCs w:val="26"/>
          <w:lang w:val="es-MX"/>
        </w:rPr>
        <w:footnoteReference w:id="106"/>
      </w:r>
      <w:r w:rsidR="004B4711">
        <w:rPr>
          <w:rFonts w:cs="Arial"/>
          <w:sz w:val="26"/>
          <w:szCs w:val="26"/>
        </w:rPr>
        <w:t xml:space="preserve"> y la </w:t>
      </w:r>
      <w:r w:rsidR="004B4711" w:rsidRPr="00594DB4">
        <w:rPr>
          <w:rFonts w:cs="Arial"/>
          <w:b/>
          <w:sz w:val="26"/>
          <w:szCs w:val="26"/>
        </w:rPr>
        <w:t>acción de inconstitucionalidad 80/2017 y su acumulada</w:t>
      </w:r>
      <w:r w:rsidR="00594DB4" w:rsidRPr="00894B94">
        <w:rPr>
          <w:rStyle w:val="Refdenotaalpie"/>
          <w:rFonts w:cs="Arial"/>
          <w:sz w:val="26"/>
          <w:szCs w:val="26"/>
          <w:lang w:val="es-MX"/>
        </w:rPr>
        <w:footnoteReference w:id="107"/>
      </w:r>
      <w:r>
        <w:rPr>
          <w:rFonts w:cs="Arial"/>
          <w:sz w:val="26"/>
          <w:szCs w:val="26"/>
        </w:rPr>
        <w:t>.</w:t>
      </w:r>
      <w:r w:rsidR="00303643">
        <w:rPr>
          <w:rFonts w:cs="Arial"/>
          <w:sz w:val="26"/>
          <w:szCs w:val="26"/>
        </w:rPr>
        <w:t xml:space="preserve"> Sin embargo, en vista de las</w:t>
      </w:r>
      <w:r w:rsidR="001A30F7">
        <w:rPr>
          <w:rFonts w:cs="Arial"/>
          <w:sz w:val="26"/>
          <w:szCs w:val="26"/>
        </w:rPr>
        <w:t xml:space="preserve"> serias</w:t>
      </w:r>
      <w:r w:rsidR="00303643">
        <w:rPr>
          <w:rFonts w:cs="Arial"/>
          <w:sz w:val="26"/>
          <w:szCs w:val="26"/>
        </w:rPr>
        <w:t xml:space="preserve"> dificultades</w:t>
      </w:r>
      <w:r w:rsidR="001A30F7">
        <w:rPr>
          <w:rFonts w:cs="Arial"/>
          <w:sz w:val="26"/>
          <w:szCs w:val="26"/>
        </w:rPr>
        <w:t xml:space="preserve"> y riesgos</w:t>
      </w:r>
      <w:r w:rsidR="00303643">
        <w:rPr>
          <w:rFonts w:cs="Arial"/>
          <w:sz w:val="26"/>
          <w:szCs w:val="26"/>
        </w:rPr>
        <w:t xml:space="preserve"> que implicaría celebrar las consultas respectivas durante la pandemia por el virus SARS-COV2-COVID19</w:t>
      </w:r>
      <w:r w:rsidR="001A30F7">
        <w:rPr>
          <w:rFonts w:cs="Arial"/>
          <w:sz w:val="26"/>
          <w:szCs w:val="26"/>
        </w:rPr>
        <w:t xml:space="preserve"> en el plazo de seis meses establecido en dichos precedentes, esta Suprema Corte considera pertinente duplicar el plazo referido</w:t>
      </w:r>
      <w:r w:rsidR="0095368E">
        <w:rPr>
          <w:rFonts w:cs="Arial"/>
          <w:sz w:val="26"/>
          <w:szCs w:val="26"/>
        </w:rPr>
        <w:t xml:space="preserve">, tal como se hizo en la </w:t>
      </w:r>
      <w:r w:rsidR="0095368E" w:rsidRPr="0095368E">
        <w:rPr>
          <w:rFonts w:cs="Arial"/>
          <w:b/>
          <w:sz w:val="26"/>
          <w:szCs w:val="26"/>
        </w:rPr>
        <w:t>acción de inconstitucionalidad 81/2018</w:t>
      </w:r>
      <w:r w:rsidR="0095368E" w:rsidRPr="00894B94">
        <w:rPr>
          <w:rStyle w:val="Refdenotaalpie"/>
          <w:rFonts w:cs="Arial"/>
          <w:sz w:val="26"/>
          <w:szCs w:val="26"/>
          <w:lang w:val="es-MX"/>
        </w:rPr>
        <w:footnoteReference w:id="108"/>
      </w:r>
      <w:r w:rsidR="00FE557A">
        <w:rPr>
          <w:rFonts w:cs="Arial"/>
          <w:sz w:val="26"/>
          <w:szCs w:val="26"/>
        </w:rPr>
        <w:t>.</w:t>
      </w:r>
      <w:r w:rsidR="00A34707">
        <w:rPr>
          <w:rFonts w:cs="Arial"/>
          <w:b/>
          <w:sz w:val="26"/>
          <w:szCs w:val="26"/>
        </w:rPr>
        <w:t xml:space="preserve"> </w:t>
      </w:r>
      <w:r w:rsidR="00FE557A" w:rsidRPr="00030AA2">
        <w:rPr>
          <w:rFonts w:cs="Arial"/>
          <w:sz w:val="26"/>
          <w:szCs w:val="26"/>
        </w:rPr>
        <w:t xml:space="preserve">Al igual que se </w:t>
      </w:r>
      <w:r w:rsidR="0046683C" w:rsidRPr="00030AA2">
        <w:rPr>
          <w:rFonts w:cs="Arial"/>
          <w:sz w:val="26"/>
          <w:szCs w:val="26"/>
        </w:rPr>
        <w:t>aclaró</w:t>
      </w:r>
      <w:r w:rsidR="00FE557A" w:rsidRPr="00030AA2">
        <w:rPr>
          <w:rFonts w:cs="Arial"/>
          <w:sz w:val="26"/>
          <w:szCs w:val="26"/>
        </w:rPr>
        <w:t xml:space="preserve"> en este último precedente, el establecimiento de</w:t>
      </w:r>
      <w:r w:rsidR="0046683C" w:rsidRPr="00030AA2">
        <w:rPr>
          <w:rFonts w:cs="Arial"/>
          <w:sz w:val="26"/>
          <w:szCs w:val="26"/>
        </w:rPr>
        <w:t>l</w:t>
      </w:r>
      <w:r w:rsidR="00FE557A" w:rsidRPr="00030AA2">
        <w:rPr>
          <w:rFonts w:cs="Arial"/>
          <w:sz w:val="26"/>
          <w:szCs w:val="26"/>
        </w:rPr>
        <w:t xml:space="preserve"> plazo de doce meses</w:t>
      </w:r>
      <w:r w:rsidR="0046683C" w:rsidRPr="00030AA2">
        <w:rPr>
          <w:rFonts w:cs="Arial"/>
          <w:sz w:val="26"/>
          <w:szCs w:val="26"/>
        </w:rPr>
        <w:t xml:space="preserve"> para que surta sus efectos la invalidez de los decretos impugnados</w:t>
      </w:r>
      <w:r w:rsidR="00FE557A" w:rsidRPr="00030AA2">
        <w:rPr>
          <w:rFonts w:cs="Arial"/>
          <w:sz w:val="26"/>
          <w:szCs w:val="26"/>
        </w:rPr>
        <w:t xml:space="preserve"> no representa</w:t>
      </w:r>
      <w:r w:rsidR="00A34707" w:rsidRPr="00030AA2">
        <w:rPr>
          <w:rFonts w:cs="Arial"/>
          <w:sz w:val="26"/>
          <w:szCs w:val="26"/>
        </w:rPr>
        <w:t xml:space="preserve"> impedimento</w:t>
      </w:r>
      <w:r w:rsidR="00032FE3" w:rsidRPr="00030AA2">
        <w:rPr>
          <w:rFonts w:cs="Arial"/>
          <w:sz w:val="26"/>
          <w:szCs w:val="26"/>
        </w:rPr>
        <w:t xml:space="preserve"> alguno</w:t>
      </w:r>
      <w:r w:rsidR="00A34707" w:rsidRPr="00030AA2">
        <w:rPr>
          <w:rFonts w:cs="Arial"/>
          <w:sz w:val="26"/>
          <w:szCs w:val="26"/>
        </w:rPr>
        <w:t xml:space="preserve"> para que el Congreso del Estado de Chihuahua realice las consultas re</w:t>
      </w:r>
      <w:r w:rsidR="0046683C" w:rsidRPr="00030AA2">
        <w:rPr>
          <w:rFonts w:cs="Arial"/>
          <w:sz w:val="26"/>
          <w:szCs w:val="26"/>
        </w:rPr>
        <w:t>queridas</w:t>
      </w:r>
      <w:r w:rsidR="00032FE3" w:rsidRPr="00030AA2">
        <w:rPr>
          <w:rFonts w:cs="Arial"/>
          <w:sz w:val="26"/>
          <w:szCs w:val="26"/>
        </w:rPr>
        <w:t xml:space="preserve"> bajo las condiciones que le impone el parámetro de regularidad constitucional</w:t>
      </w:r>
      <w:r w:rsidR="0046683C" w:rsidRPr="00030AA2">
        <w:rPr>
          <w:rFonts w:cs="Arial"/>
          <w:sz w:val="26"/>
          <w:szCs w:val="26"/>
        </w:rPr>
        <w:t xml:space="preserve"> y expida una nueva ley en un tiempo menor</w:t>
      </w:r>
      <w:r w:rsidR="00074440" w:rsidRPr="00030AA2">
        <w:rPr>
          <w:rStyle w:val="Refdenotaalpie"/>
          <w:rFonts w:cs="Arial"/>
          <w:sz w:val="26"/>
          <w:szCs w:val="26"/>
          <w:lang w:val="es-MX"/>
        </w:rPr>
        <w:footnoteReference w:id="109"/>
      </w:r>
      <w:r w:rsidR="00303643" w:rsidRPr="00030AA2">
        <w:rPr>
          <w:rFonts w:cs="Arial"/>
          <w:sz w:val="26"/>
          <w:szCs w:val="26"/>
        </w:rPr>
        <w:t>.</w:t>
      </w:r>
    </w:p>
    <w:p w:rsidR="00CB5A8E" w:rsidRDefault="00CB5A8E" w:rsidP="00CB5A8E">
      <w:pPr>
        <w:pStyle w:val="corte4fondo"/>
        <w:numPr>
          <w:ilvl w:val="0"/>
          <w:numId w:val="1"/>
        </w:numPr>
        <w:tabs>
          <w:tab w:val="clear" w:pos="-3"/>
          <w:tab w:val="left" w:pos="0"/>
        </w:tabs>
        <w:spacing w:after="360" w:line="360" w:lineRule="auto"/>
        <w:ind w:left="0" w:hanging="567"/>
        <w:rPr>
          <w:b/>
          <w:sz w:val="26"/>
          <w:szCs w:val="26"/>
          <w:lang w:val="es-MX"/>
        </w:rPr>
      </w:pPr>
      <w:r>
        <w:rPr>
          <w:rFonts w:cs="Arial"/>
          <w:sz w:val="26"/>
          <w:szCs w:val="26"/>
        </w:rPr>
        <w:t xml:space="preserve">Por lo expuesto y fundado, </w:t>
      </w:r>
      <w:r w:rsidR="00F751A8">
        <w:rPr>
          <w:rFonts w:cs="Arial"/>
          <w:sz w:val="26"/>
          <w:szCs w:val="26"/>
        </w:rPr>
        <w:t xml:space="preserve"> </w:t>
      </w:r>
    </w:p>
    <w:p w:rsidR="00CB5A8E" w:rsidRPr="009451E6" w:rsidRDefault="00CB5A8E" w:rsidP="00CB5A8E">
      <w:pPr>
        <w:pStyle w:val="corte4fondo"/>
        <w:spacing w:line="360" w:lineRule="auto"/>
        <w:ind w:firstLine="0"/>
        <w:jc w:val="center"/>
        <w:rPr>
          <w:rFonts w:cs="Arial"/>
          <w:b/>
          <w:spacing w:val="40"/>
          <w:sz w:val="26"/>
          <w:szCs w:val="26"/>
          <w:lang w:val="es-MX" w:eastAsia="es-MX"/>
        </w:rPr>
      </w:pPr>
      <w:r w:rsidRPr="009451E6">
        <w:rPr>
          <w:rFonts w:cs="Arial"/>
          <w:b/>
          <w:spacing w:val="40"/>
          <w:sz w:val="26"/>
          <w:szCs w:val="26"/>
          <w:lang w:val="es-MX" w:eastAsia="es-MX"/>
        </w:rPr>
        <w:t>SE   RESUELVE</w:t>
      </w:r>
    </w:p>
    <w:p w:rsidR="00CB5A8E" w:rsidRDefault="00CB5A8E" w:rsidP="00CB5A8E">
      <w:pPr>
        <w:spacing w:before="240" w:after="240" w:line="360" w:lineRule="auto"/>
        <w:ind w:firstLine="708"/>
        <w:jc w:val="both"/>
        <w:rPr>
          <w:rFonts w:ascii="Arial" w:hAnsi="Arial" w:cs="Arial"/>
          <w:sz w:val="26"/>
          <w:szCs w:val="26"/>
        </w:rPr>
      </w:pPr>
      <w:r>
        <w:rPr>
          <w:rFonts w:ascii="Arial" w:hAnsi="Arial" w:cs="Arial"/>
          <w:b/>
          <w:sz w:val="26"/>
          <w:szCs w:val="26"/>
        </w:rPr>
        <w:t xml:space="preserve">PRIMERO. </w:t>
      </w:r>
      <w:r>
        <w:rPr>
          <w:rFonts w:ascii="Arial" w:hAnsi="Arial" w:cs="Arial"/>
          <w:sz w:val="26"/>
          <w:szCs w:val="26"/>
        </w:rPr>
        <w:t>Es procedente y fundada la presente acción de inconstitucionalidad.</w:t>
      </w:r>
    </w:p>
    <w:p w:rsidR="00CB5A8E" w:rsidRDefault="00CB5A8E" w:rsidP="00CB5A8E">
      <w:pPr>
        <w:pStyle w:val="corte4fondo"/>
        <w:tabs>
          <w:tab w:val="left" w:pos="0"/>
        </w:tabs>
        <w:spacing w:after="360" w:line="360" w:lineRule="auto"/>
        <w:ind w:firstLine="0"/>
        <w:rPr>
          <w:rFonts w:cs="Arial"/>
          <w:sz w:val="26"/>
          <w:szCs w:val="26"/>
        </w:rPr>
      </w:pPr>
      <w:r>
        <w:rPr>
          <w:b/>
          <w:sz w:val="26"/>
          <w:szCs w:val="26"/>
          <w:lang w:val="es-MX"/>
        </w:rPr>
        <w:tab/>
        <w:t xml:space="preserve">SEGUNDO. </w:t>
      </w:r>
      <w:r>
        <w:rPr>
          <w:rFonts w:cs="Arial"/>
          <w:sz w:val="26"/>
          <w:szCs w:val="26"/>
        </w:rPr>
        <w:t>Se decl</w:t>
      </w:r>
      <w:r w:rsidR="002C5B26">
        <w:rPr>
          <w:rFonts w:cs="Arial"/>
          <w:sz w:val="26"/>
          <w:szCs w:val="26"/>
        </w:rPr>
        <w:t>ara la invalidez de los</w:t>
      </w:r>
      <w:r w:rsidR="002C5B26" w:rsidRPr="002C5B26">
        <w:rPr>
          <w:rFonts w:cs="Arial"/>
          <w:sz w:val="26"/>
          <w:szCs w:val="26"/>
        </w:rPr>
        <w:t xml:space="preserve"> </w:t>
      </w:r>
      <w:r w:rsidR="002C5B26">
        <w:rPr>
          <w:rFonts w:cs="Arial"/>
          <w:sz w:val="26"/>
          <w:szCs w:val="26"/>
        </w:rPr>
        <w:t xml:space="preserve">Decretos N° </w:t>
      </w:r>
      <w:r w:rsidR="002C5B26" w:rsidRPr="00B825C4">
        <w:rPr>
          <w:rFonts w:cs="Arial"/>
          <w:sz w:val="26"/>
          <w:szCs w:val="26"/>
        </w:rPr>
        <w:t xml:space="preserve">LXVI/RFCNT/0512/2019 I P.O., LXVI/RFLEY/0513/2019 I P.O., LXVI/RFLEY/0665/2020 III P.E. y </w:t>
      </w:r>
      <w:r w:rsidR="002C5B26">
        <w:rPr>
          <w:rFonts w:cs="Arial"/>
          <w:sz w:val="26"/>
          <w:szCs w:val="26"/>
        </w:rPr>
        <w:t>LXVI/RFLEY/0666/2020 III P.E.</w:t>
      </w:r>
      <w:r w:rsidR="00097EF3">
        <w:rPr>
          <w:rFonts w:cs="Arial"/>
          <w:sz w:val="26"/>
          <w:szCs w:val="26"/>
        </w:rPr>
        <w:t>, publicados en el Periódico O</w:t>
      </w:r>
      <w:r>
        <w:rPr>
          <w:rFonts w:cs="Arial"/>
          <w:sz w:val="26"/>
          <w:szCs w:val="26"/>
        </w:rPr>
        <w:t>ficial de</w:t>
      </w:r>
      <w:r w:rsidR="00097EF3">
        <w:rPr>
          <w:rFonts w:cs="Arial"/>
          <w:sz w:val="26"/>
          <w:szCs w:val="26"/>
        </w:rPr>
        <w:t>l</w:t>
      </w:r>
      <w:r>
        <w:rPr>
          <w:rFonts w:cs="Arial"/>
          <w:sz w:val="26"/>
          <w:szCs w:val="26"/>
        </w:rPr>
        <w:t xml:space="preserve"> </w:t>
      </w:r>
      <w:r w:rsidR="00097EF3">
        <w:rPr>
          <w:rFonts w:cs="Arial"/>
          <w:sz w:val="26"/>
          <w:szCs w:val="26"/>
        </w:rPr>
        <w:t>Estado de Chihuahua</w:t>
      </w:r>
      <w:r>
        <w:rPr>
          <w:rFonts w:cs="Arial"/>
          <w:sz w:val="26"/>
          <w:szCs w:val="26"/>
        </w:rPr>
        <w:t xml:space="preserve"> el </w:t>
      </w:r>
      <w:r w:rsidR="00097EF3">
        <w:rPr>
          <w:rFonts w:cs="Arial"/>
          <w:sz w:val="26"/>
          <w:szCs w:val="26"/>
        </w:rPr>
        <w:t>cuatro de marzo</w:t>
      </w:r>
      <w:r w:rsidR="00F261E6">
        <w:rPr>
          <w:rFonts w:cs="Arial"/>
          <w:sz w:val="26"/>
          <w:szCs w:val="26"/>
        </w:rPr>
        <w:t xml:space="preserve"> de dos mil veinte</w:t>
      </w:r>
      <w:r>
        <w:rPr>
          <w:rFonts w:cs="Arial"/>
          <w:sz w:val="26"/>
          <w:szCs w:val="26"/>
        </w:rPr>
        <w:t xml:space="preserve">, en </w:t>
      </w:r>
      <w:r w:rsidR="00097EF3">
        <w:rPr>
          <w:rFonts w:cs="Arial"/>
          <w:sz w:val="26"/>
          <w:szCs w:val="26"/>
        </w:rPr>
        <w:t>atención a lo expuesto</w:t>
      </w:r>
      <w:r>
        <w:rPr>
          <w:rFonts w:cs="Arial"/>
          <w:sz w:val="26"/>
          <w:szCs w:val="26"/>
        </w:rPr>
        <w:t xml:space="preserve"> en el apartado </w:t>
      </w:r>
      <w:r>
        <w:rPr>
          <w:rFonts w:cs="Arial"/>
          <w:b/>
          <w:sz w:val="26"/>
          <w:szCs w:val="26"/>
        </w:rPr>
        <w:t>IV</w:t>
      </w:r>
      <w:r>
        <w:rPr>
          <w:rFonts w:cs="Arial"/>
          <w:sz w:val="26"/>
          <w:szCs w:val="26"/>
        </w:rPr>
        <w:t xml:space="preserve"> de esta </w:t>
      </w:r>
      <w:r w:rsidR="00097EF3">
        <w:rPr>
          <w:rFonts w:cs="Arial"/>
          <w:sz w:val="26"/>
          <w:szCs w:val="26"/>
        </w:rPr>
        <w:t>deci</w:t>
      </w:r>
      <w:r w:rsidR="000C6424">
        <w:rPr>
          <w:rFonts w:cs="Arial"/>
          <w:sz w:val="26"/>
          <w:szCs w:val="26"/>
        </w:rPr>
        <w:t>sión</w:t>
      </w:r>
      <w:r w:rsidR="00B36CFC">
        <w:rPr>
          <w:rFonts w:cs="Arial"/>
          <w:sz w:val="26"/>
          <w:szCs w:val="26"/>
        </w:rPr>
        <w:t xml:space="preserve"> y</w:t>
      </w:r>
      <w:r w:rsidR="00097EF3">
        <w:rPr>
          <w:rFonts w:cs="Arial"/>
          <w:sz w:val="26"/>
          <w:szCs w:val="26"/>
        </w:rPr>
        <w:t>,</w:t>
      </w:r>
      <w:r w:rsidR="00B36CFC">
        <w:rPr>
          <w:rFonts w:cs="Arial"/>
          <w:sz w:val="26"/>
          <w:szCs w:val="26"/>
        </w:rPr>
        <w:t xml:space="preserve"> por </w:t>
      </w:r>
      <w:r w:rsidR="00097EF3">
        <w:rPr>
          <w:rFonts w:cs="Arial"/>
          <w:sz w:val="26"/>
          <w:szCs w:val="26"/>
        </w:rPr>
        <w:t>extensión</w:t>
      </w:r>
      <w:r w:rsidR="00B36CFC">
        <w:rPr>
          <w:rFonts w:cs="Arial"/>
          <w:sz w:val="26"/>
          <w:szCs w:val="26"/>
        </w:rPr>
        <w:t xml:space="preserve">, </w:t>
      </w:r>
      <w:r w:rsidR="000C6424">
        <w:rPr>
          <w:rFonts w:cs="Arial"/>
          <w:sz w:val="26"/>
          <w:szCs w:val="26"/>
        </w:rPr>
        <w:t xml:space="preserve">la </w:t>
      </w:r>
      <w:r w:rsidR="00B36CFC">
        <w:rPr>
          <w:rFonts w:cs="Arial"/>
          <w:sz w:val="26"/>
          <w:szCs w:val="26"/>
        </w:rPr>
        <w:t xml:space="preserve">del </w:t>
      </w:r>
      <w:r w:rsidR="002C5B26" w:rsidRPr="002C5B26">
        <w:rPr>
          <w:rFonts w:cs="Arial"/>
          <w:sz w:val="26"/>
          <w:szCs w:val="26"/>
        </w:rPr>
        <w:t xml:space="preserve">Decreto </w:t>
      </w:r>
      <w:r w:rsidR="002C5B26" w:rsidRPr="002C5B26">
        <w:rPr>
          <w:rFonts w:cs="Arial"/>
          <w:sz w:val="26"/>
          <w:szCs w:val="26"/>
          <w:lang w:eastAsia="es-MX"/>
        </w:rPr>
        <w:t>N°</w:t>
      </w:r>
      <w:r w:rsidR="002C5B26" w:rsidRPr="002C5B26">
        <w:rPr>
          <w:rFonts w:cs="Arial"/>
          <w:sz w:val="26"/>
          <w:szCs w:val="26"/>
        </w:rPr>
        <w:t xml:space="preserve"> LXVI/DRFCT/0688/2020 I D.P.</w:t>
      </w:r>
      <w:r w:rsidR="002C5B26">
        <w:rPr>
          <w:rFonts w:cs="Arial"/>
          <w:sz w:val="26"/>
          <w:szCs w:val="26"/>
        </w:rPr>
        <w:t>,</w:t>
      </w:r>
      <w:r w:rsidR="00F751A8">
        <w:rPr>
          <w:rFonts w:cs="Arial"/>
          <w:sz w:val="26"/>
          <w:szCs w:val="26"/>
        </w:rPr>
        <w:t xml:space="preserve"> </w:t>
      </w:r>
      <w:r w:rsidR="00F751A8">
        <w:rPr>
          <w:rFonts w:cs="Arial"/>
          <w:sz w:val="26"/>
          <w:szCs w:val="26"/>
        </w:rPr>
        <w:lastRenderedPageBreak/>
        <w:t>publicado en esa misma fecha y medio</w:t>
      </w:r>
      <w:r w:rsidR="00874DD8">
        <w:rPr>
          <w:rFonts w:cs="Arial"/>
          <w:sz w:val="26"/>
          <w:szCs w:val="26"/>
        </w:rPr>
        <w:t xml:space="preserve"> de difusión oficial</w:t>
      </w:r>
      <w:r w:rsidR="00F751A8">
        <w:rPr>
          <w:rFonts w:cs="Arial"/>
          <w:sz w:val="26"/>
          <w:szCs w:val="26"/>
        </w:rPr>
        <w:t>,</w:t>
      </w:r>
      <w:r w:rsidR="002C5B26">
        <w:rPr>
          <w:rFonts w:cs="Arial"/>
          <w:sz w:val="26"/>
          <w:szCs w:val="26"/>
        </w:rPr>
        <w:t xml:space="preserve"> en términos de</w:t>
      </w:r>
      <w:r w:rsidR="00993D63">
        <w:rPr>
          <w:rFonts w:cs="Arial"/>
          <w:sz w:val="26"/>
          <w:szCs w:val="26"/>
        </w:rPr>
        <w:t xml:space="preserve">l </w:t>
      </w:r>
      <w:r w:rsidR="002C5B26">
        <w:rPr>
          <w:rFonts w:cs="Arial"/>
          <w:sz w:val="26"/>
          <w:szCs w:val="26"/>
        </w:rPr>
        <w:t xml:space="preserve">apartado </w:t>
      </w:r>
      <w:r w:rsidR="002C5B26" w:rsidRPr="002C5B26">
        <w:rPr>
          <w:rFonts w:cs="Arial"/>
          <w:b/>
          <w:sz w:val="26"/>
          <w:szCs w:val="26"/>
        </w:rPr>
        <w:t>V</w:t>
      </w:r>
      <w:r w:rsidR="002C5B26">
        <w:rPr>
          <w:rFonts w:cs="Arial"/>
          <w:sz w:val="26"/>
          <w:szCs w:val="26"/>
        </w:rPr>
        <w:t xml:space="preserve"> de esta determinación</w:t>
      </w:r>
      <w:r>
        <w:rPr>
          <w:rFonts w:cs="Arial"/>
          <w:sz w:val="26"/>
          <w:szCs w:val="26"/>
        </w:rPr>
        <w:t>.</w:t>
      </w:r>
    </w:p>
    <w:p w:rsidR="00CB5A8E" w:rsidRDefault="00CB5A8E" w:rsidP="00CB5A8E">
      <w:pPr>
        <w:spacing w:line="360" w:lineRule="auto"/>
        <w:ind w:firstLine="708"/>
        <w:jc w:val="both"/>
        <w:rPr>
          <w:rFonts w:ascii="Arial" w:hAnsi="Arial" w:cs="Arial"/>
          <w:b/>
          <w:sz w:val="26"/>
          <w:szCs w:val="26"/>
        </w:rPr>
      </w:pPr>
      <w:r>
        <w:rPr>
          <w:rFonts w:ascii="Arial" w:hAnsi="Arial" w:cs="Arial"/>
          <w:b/>
          <w:sz w:val="26"/>
          <w:szCs w:val="26"/>
        </w:rPr>
        <w:t>TERCERO</w:t>
      </w:r>
      <w:r w:rsidRPr="009451E6">
        <w:rPr>
          <w:rFonts w:ascii="Arial" w:hAnsi="Arial" w:cs="Arial"/>
          <w:b/>
          <w:sz w:val="26"/>
          <w:szCs w:val="26"/>
        </w:rPr>
        <w:t xml:space="preserve">. </w:t>
      </w:r>
      <w:r w:rsidR="002918F5" w:rsidRPr="002918F5">
        <w:rPr>
          <w:rFonts w:ascii="Arial" w:hAnsi="Arial" w:cs="Arial"/>
          <w:sz w:val="26"/>
          <w:szCs w:val="26"/>
        </w:rPr>
        <w:t xml:space="preserve">Las declaraciones de invalidez decretadas en este fallo surtirán sus efectos a los doce meses siguientes </w:t>
      </w:r>
      <w:r w:rsidR="002918F5" w:rsidRPr="00030AA2">
        <w:rPr>
          <w:rFonts w:ascii="Arial" w:hAnsi="Arial" w:cs="Arial"/>
          <w:sz w:val="26"/>
          <w:szCs w:val="26"/>
        </w:rPr>
        <w:t>a la notificación de estos puntos resolutivos al Congreso del Estado de Chihuahua</w:t>
      </w:r>
      <w:r w:rsidR="002918F5" w:rsidRPr="002918F5">
        <w:rPr>
          <w:rFonts w:ascii="Arial" w:hAnsi="Arial" w:cs="Arial"/>
          <w:sz w:val="26"/>
          <w:szCs w:val="26"/>
        </w:rPr>
        <w:t xml:space="preserve">, en los términos precisados en el apartado </w:t>
      </w:r>
      <w:r w:rsidR="002918F5" w:rsidRPr="002918F5">
        <w:rPr>
          <w:rFonts w:ascii="Arial" w:hAnsi="Arial" w:cs="Arial"/>
          <w:b/>
          <w:sz w:val="26"/>
          <w:szCs w:val="26"/>
        </w:rPr>
        <w:t>V</w:t>
      </w:r>
      <w:r w:rsidR="002918F5" w:rsidRPr="002918F5">
        <w:rPr>
          <w:rFonts w:ascii="Arial" w:hAnsi="Arial" w:cs="Arial"/>
          <w:sz w:val="26"/>
          <w:szCs w:val="26"/>
        </w:rPr>
        <w:t xml:space="preserve"> de la presente ejecutoria</w:t>
      </w:r>
      <w:r>
        <w:rPr>
          <w:rFonts w:ascii="Arial" w:hAnsi="Arial" w:cs="Arial"/>
          <w:sz w:val="26"/>
          <w:szCs w:val="26"/>
        </w:rPr>
        <w:t>.</w:t>
      </w:r>
    </w:p>
    <w:p w:rsidR="00CB5A8E" w:rsidRDefault="00CB5A8E" w:rsidP="00CB5A8E">
      <w:pPr>
        <w:spacing w:line="360" w:lineRule="auto"/>
        <w:ind w:firstLine="708"/>
        <w:jc w:val="both"/>
        <w:rPr>
          <w:rFonts w:ascii="Arial" w:hAnsi="Arial" w:cs="Arial"/>
          <w:sz w:val="26"/>
          <w:szCs w:val="26"/>
        </w:rPr>
      </w:pPr>
      <w:r>
        <w:rPr>
          <w:rFonts w:ascii="Arial" w:hAnsi="Arial" w:cs="Arial"/>
          <w:b/>
          <w:sz w:val="26"/>
          <w:szCs w:val="26"/>
        </w:rPr>
        <w:t>CUARTO.</w:t>
      </w:r>
      <w:r>
        <w:rPr>
          <w:rFonts w:cs="Arial"/>
          <w:b/>
          <w:sz w:val="26"/>
          <w:szCs w:val="26"/>
        </w:rPr>
        <w:t xml:space="preserve"> </w:t>
      </w:r>
      <w:r w:rsidR="002918F5" w:rsidRPr="002918F5">
        <w:rPr>
          <w:rFonts w:ascii="Arial" w:hAnsi="Arial" w:cs="Arial"/>
          <w:sz w:val="26"/>
          <w:szCs w:val="26"/>
        </w:rPr>
        <w:t>Publíquese esta resolución en el Diario Oficial de la Federación, en el Periódico Oficial del Estado de Chihuahua, así como en el Semanario Judicial de la Federación y su Gaceta</w:t>
      </w:r>
      <w:r>
        <w:rPr>
          <w:rFonts w:ascii="Arial" w:hAnsi="Arial" w:cs="Arial"/>
          <w:sz w:val="26"/>
          <w:szCs w:val="26"/>
        </w:rPr>
        <w:t>.</w:t>
      </w:r>
    </w:p>
    <w:p w:rsidR="0011393D" w:rsidRDefault="00CB5A8E" w:rsidP="00CB5A8E">
      <w:pPr>
        <w:pStyle w:val="corte4fondo"/>
        <w:tabs>
          <w:tab w:val="left" w:pos="0"/>
        </w:tabs>
        <w:spacing w:after="360" w:line="360" w:lineRule="auto"/>
        <w:ind w:firstLine="0"/>
        <w:rPr>
          <w:sz w:val="26"/>
          <w:szCs w:val="26"/>
          <w:lang w:eastAsia="es-MX"/>
        </w:rPr>
      </w:pPr>
      <w:r>
        <w:rPr>
          <w:b/>
          <w:sz w:val="26"/>
          <w:szCs w:val="26"/>
          <w:lang w:eastAsia="es-MX"/>
        </w:rPr>
        <w:t>Notifíquese</w:t>
      </w:r>
      <w:r>
        <w:rPr>
          <w:sz w:val="26"/>
          <w:szCs w:val="26"/>
          <w:lang w:eastAsia="es-MX"/>
        </w:rPr>
        <w:t>, haciéndolo por medio de oficio a las partes y, en su oportunidad, archívese el expediente como asunto concluido.</w:t>
      </w:r>
    </w:p>
    <w:p w:rsidR="00EC790C" w:rsidRPr="00EC790C" w:rsidRDefault="00EC790C" w:rsidP="00EC790C">
      <w:pPr>
        <w:pStyle w:val="corte4fondo"/>
        <w:tabs>
          <w:tab w:val="left" w:pos="0"/>
        </w:tabs>
        <w:spacing w:after="360" w:line="360" w:lineRule="auto"/>
        <w:rPr>
          <w:sz w:val="26"/>
          <w:szCs w:val="26"/>
          <w:lang w:eastAsia="es-MX"/>
        </w:rPr>
      </w:pPr>
      <w:r w:rsidRPr="00EC790C">
        <w:rPr>
          <w:sz w:val="26"/>
          <w:szCs w:val="26"/>
          <w:lang w:eastAsia="es-MX"/>
        </w:rPr>
        <w:t>Así lo resolvió el Pleno de la Suprema Corte de Justicia de la Nación:</w:t>
      </w:r>
    </w:p>
    <w:p w:rsidR="00EC790C" w:rsidRPr="00EC790C" w:rsidRDefault="00EC790C" w:rsidP="00EC790C">
      <w:pPr>
        <w:pStyle w:val="corte4fondo"/>
        <w:tabs>
          <w:tab w:val="left" w:pos="0"/>
        </w:tabs>
        <w:spacing w:after="360" w:line="360" w:lineRule="auto"/>
        <w:rPr>
          <w:b/>
          <w:sz w:val="26"/>
          <w:szCs w:val="26"/>
          <w:lang w:eastAsia="es-MX"/>
        </w:rPr>
      </w:pPr>
      <w:r w:rsidRPr="00EC790C">
        <w:rPr>
          <w:b/>
          <w:sz w:val="26"/>
          <w:szCs w:val="26"/>
          <w:lang w:eastAsia="es-MX"/>
        </w:rPr>
        <w:t>En relación con el punto resolutivo primero:</w:t>
      </w:r>
    </w:p>
    <w:p w:rsidR="00EC790C" w:rsidRPr="00EC790C" w:rsidRDefault="00EC790C" w:rsidP="00EC790C">
      <w:pPr>
        <w:pStyle w:val="corte4fondo"/>
        <w:tabs>
          <w:tab w:val="left" w:pos="0"/>
        </w:tabs>
        <w:spacing w:after="360" w:line="360" w:lineRule="auto"/>
        <w:rPr>
          <w:sz w:val="26"/>
          <w:szCs w:val="26"/>
          <w:lang w:eastAsia="es-MX"/>
        </w:rPr>
      </w:pPr>
      <w:r w:rsidRPr="00EC790C">
        <w:rPr>
          <w:sz w:val="26"/>
          <w:szCs w:val="26"/>
          <w:lang w:eastAsia="es-MX"/>
        </w:rPr>
        <w:t xml:space="preserve">Se aprobó por unanimidad de once votos de las señoras </w:t>
      </w:r>
      <w:r>
        <w:rPr>
          <w:sz w:val="26"/>
          <w:szCs w:val="26"/>
          <w:lang w:eastAsia="es-MX"/>
        </w:rPr>
        <w:t>ministras</w:t>
      </w:r>
      <w:r w:rsidRPr="00EC790C">
        <w:rPr>
          <w:sz w:val="26"/>
          <w:szCs w:val="26"/>
          <w:lang w:eastAsia="es-MX"/>
        </w:rPr>
        <w:t xml:space="preserve"> y los señores </w:t>
      </w:r>
      <w:r>
        <w:rPr>
          <w:sz w:val="26"/>
          <w:szCs w:val="26"/>
          <w:lang w:eastAsia="es-MX"/>
        </w:rPr>
        <w:t>ministros</w:t>
      </w:r>
      <w:r w:rsidRPr="00EC790C">
        <w:rPr>
          <w:sz w:val="26"/>
          <w:szCs w:val="26"/>
          <w:lang w:eastAsia="es-MX"/>
        </w:rPr>
        <w:t xml:space="preserve"> Gutiérrez Ortiz Mena, González Alcántara Carrancá, Esquivel Mossa, Franco González Salas, Aguilar Morales, Pardo Rebolledo, Piña Hernández, Ríos Farjat, Laynez Potisek, Pérez Dayán y Presidente Zaldívar Lelo de Larrea, respecto de los apartados </w:t>
      </w:r>
      <w:r w:rsidRPr="00EC790C">
        <w:rPr>
          <w:b/>
          <w:sz w:val="26"/>
          <w:szCs w:val="26"/>
          <w:lang w:eastAsia="es-MX"/>
        </w:rPr>
        <w:t>I</w:t>
      </w:r>
      <w:r w:rsidRPr="00EC790C">
        <w:rPr>
          <w:sz w:val="26"/>
          <w:szCs w:val="26"/>
          <w:lang w:eastAsia="es-MX"/>
        </w:rPr>
        <w:t xml:space="preserve">, </w:t>
      </w:r>
      <w:r w:rsidRPr="00EC790C">
        <w:rPr>
          <w:b/>
          <w:sz w:val="26"/>
          <w:szCs w:val="26"/>
          <w:lang w:eastAsia="es-MX"/>
        </w:rPr>
        <w:t>II</w:t>
      </w:r>
      <w:r w:rsidRPr="00EC790C">
        <w:rPr>
          <w:sz w:val="26"/>
          <w:szCs w:val="26"/>
          <w:lang w:eastAsia="es-MX"/>
        </w:rPr>
        <w:t xml:space="preserve"> y </w:t>
      </w:r>
      <w:r w:rsidRPr="00EC790C">
        <w:rPr>
          <w:b/>
          <w:sz w:val="26"/>
          <w:szCs w:val="26"/>
          <w:lang w:eastAsia="es-MX"/>
        </w:rPr>
        <w:t>III</w:t>
      </w:r>
      <w:r w:rsidRPr="00EC790C">
        <w:rPr>
          <w:sz w:val="26"/>
          <w:szCs w:val="26"/>
          <w:lang w:eastAsia="es-MX"/>
        </w:rPr>
        <w:t xml:space="preserve"> relativos, respectivamente, a los antecedentes, a los requisitos procesales (competencia, oportunidad y legitimación) y a las causas de improcedencia.</w:t>
      </w:r>
    </w:p>
    <w:p w:rsidR="00EC790C" w:rsidRPr="00EC790C" w:rsidRDefault="00EC790C" w:rsidP="00EC790C">
      <w:pPr>
        <w:pStyle w:val="corte4fondo"/>
        <w:tabs>
          <w:tab w:val="left" w:pos="0"/>
        </w:tabs>
        <w:spacing w:after="360" w:line="360" w:lineRule="auto"/>
        <w:rPr>
          <w:b/>
          <w:sz w:val="26"/>
          <w:szCs w:val="26"/>
          <w:lang w:eastAsia="es-MX"/>
        </w:rPr>
      </w:pPr>
      <w:r w:rsidRPr="00EC790C">
        <w:rPr>
          <w:b/>
          <w:sz w:val="26"/>
          <w:szCs w:val="26"/>
          <w:lang w:eastAsia="es-MX"/>
        </w:rPr>
        <w:t>En relación con el punto resolutivo segundo:</w:t>
      </w:r>
    </w:p>
    <w:p w:rsidR="00EC790C" w:rsidRPr="00EC790C" w:rsidRDefault="00EC790C" w:rsidP="00EC790C">
      <w:pPr>
        <w:pStyle w:val="corte4fondo"/>
        <w:tabs>
          <w:tab w:val="left" w:pos="0"/>
        </w:tabs>
        <w:spacing w:after="360" w:line="360" w:lineRule="auto"/>
        <w:rPr>
          <w:sz w:val="26"/>
          <w:szCs w:val="26"/>
          <w:lang w:eastAsia="es-MX"/>
        </w:rPr>
      </w:pPr>
      <w:r w:rsidRPr="00EC790C">
        <w:rPr>
          <w:sz w:val="26"/>
          <w:szCs w:val="26"/>
          <w:lang w:eastAsia="es-MX"/>
        </w:rPr>
        <w:t xml:space="preserve">Se aprobó por unanimidad de once votos de las señoras </w:t>
      </w:r>
      <w:r>
        <w:rPr>
          <w:sz w:val="26"/>
          <w:szCs w:val="26"/>
          <w:lang w:eastAsia="es-MX"/>
        </w:rPr>
        <w:t>ministras</w:t>
      </w:r>
      <w:r w:rsidRPr="00EC790C">
        <w:rPr>
          <w:sz w:val="26"/>
          <w:szCs w:val="26"/>
          <w:lang w:eastAsia="es-MX"/>
        </w:rPr>
        <w:t xml:space="preserve"> y los señores </w:t>
      </w:r>
      <w:r>
        <w:rPr>
          <w:sz w:val="26"/>
          <w:szCs w:val="26"/>
          <w:lang w:eastAsia="es-MX"/>
        </w:rPr>
        <w:t>ministros</w:t>
      </w:r>
      <w:r w:rsidRPr="00EC790C">
        <w:rPr>
          <w:sz w:val="26"/>
          <w:szCs w:val="26"/>
          <w:lang w:eastAsia="es-MX"/>
        </w:rPr>
        <w:t xml:space="preserve"> Gutiérrez Ortiz Mena, González Alcántara Carrancá, Esquivel Mossa, Franco González Salas con reserva de criterio, Aguilar Morales, Pardo Rebolledo, Piña Hernández, Ríos Farjat, Laynez Potisek, Pérez Dayán y Presidente Zaldívar Lelo de Larrea, respecto del apartado </w:t>
      </w:r>
      <w:r w:rsidRPr="00EC790C">
        <w:rPr>
          <w:b/>
          <w:sz w:val="26"/>
          <w:szCs w:val="26"/>
          <w:lang w:eastAsia="es-MX"/>
        </w:rPr>
        <w:t>IV</w:t>
      </w:r>
      <w:r w:rsidRPr="00EC790C">
        <w:rPr>
          <w:sz w:val="26"/>
          <w:szCs w:val="26"/>
          <w:lang w:eastAsia="es-MX"/>
        </w:rPr>
        <w:t xml:space="preserve">, relativo al estudio de fondo, consistente en declarar la invalidez de los Decretos N° LXVI/RFCNT/0512/2019 I P.O., LXVI/RFLEY/0513/2019 I P.O., </w:t>
      </w:r>
      <w:r w:rsidRPr="00EC790C">
        <w:rPr>
          <w:sz w:val="26"/>
          <w:szCs w:val="26"/>
          <w:lang w:eastAsia="es-MX"/>
        </w:rPr>
        <w:lastRenderedPageBreak/>
        <w:t>LXVI/RFLEY/0665/2020 III P.E. y LXVI/RFLEY/0666/2020 III P.E., publicados en el Periódico Oficial del Estado de Chihuahua el cuatro de marzo de dos mil veinte.</w:t>
      </w:r>
    </w:p>
    <w:p w:rsidR="00EC790C" w:rsidRPr="00EC790C" w:rsidRDefault="00EC790C" w:rsidP="00EC790C">
      <w:pPr>
        <w:pStyle w:val="corte4fondo"/>
        <w:tabs>
          <w:tab w:val="left" w:pos="0"/>
        </w:tabs>
        <w:spacing w:after="360" w:line="360" w:lineRule="auto"/>
        <w:rPr>
          <w:sz w:val="26"/>
          <w:szCs w:val="26"/>
          <w:lang w:eastAsia="es-MX"/>
        </w:rPr>
      </w:pPr>
      <w:r w:rsidRPr="00EC790C">
        <w:rPr>
          <w:sz w:val="26"/>
          <w:szCs w:val="26"/>
          <w:lang w:eastAsia="es-MX"/>
        </w:rPr>
        <w:t xml:space="preserve">Se aprobó por unanimidad de once votos de las señoras </w:t>
      </w:r>
      <w:r>
        <w:rPr>
          <w:sz w:val="26"/>
          <w:szCs w:val="26"/>
          <w:lang w:eastAsia="es-MX"/>
        </w:rPr>
        <w:t>ministras</w:t>
      </w:r>
      <w:r w:rsidRPr="00EC790C">
        <w:rPr>
          <w:sz w:val="26"/>
          <w:szCs w:val="26"/>
          <w:lang w:eastAsia="es-MX"/>
        </w:rPr>
        <w:t xml:space="preserve"> y los señores </w:t>
      </w:r>
      <w:r>
        <w:rPr>
          <w:sz w:val="26"/>
          <w:szCs w:val="26"/>
          <w:lang w:eastAsia="es-MX"/>
        </w:rPr>
        <w:t>ministros</w:t>
      </w:r>
      <w:r w:rsidRPr="00EC790C">
        <w:rPr>
          <w:sz w:val="26"/>
          <w:szCs w:val="26"/>
          <w:lang w:eastAsia="es-MX"/>
        </w:rPr>
        <w:t xml:space="preserve"> Gutiérrez Ortiz Mena, González Alcántara Carrancá, Esquivel Mossa, Franco González Salas, Aguilar Morales, Pardo Rebolledo, Piña Hernández, Ríos Farjat, Laynez Potisek, Pérez Dayán y Presidente Zaldívar Lelo de Larrea, respecto del apartado </w:t>
      </w:r>
      <w:r w:rsidRPr="00EC790C">
        <w:rPr>
          <w:b/>
          <w:sz w:val="26"/>
          <w:szCs w:val="26"/>
          <w:lang w:eastAsia="es-MX"/>
        </w:rPr>
        <w:t>V</w:t>
      </w:r>
      <w:r w:rsidRPr="00EC790C">
        <w:rPr>
          <w:sz w:val="26"/>
          <w:szCs w:val="26"/>
          <w:lang w:eastAsia="es-MX"/>
        </w:rPr>
        <w:t>, relativo a los efectos, consistente en: 1) declarar la invalidez, por extensión del Decreto N° LXVI/DRFCT/0688/2020 I D.P., publicado en el Periódico Oficial del Estado de Chihuahua el cuatro de marzo de dos mil veinte.</w:t>
      </w:r>
    </w:p>
    <w:p w:rsidR="00EC790C" w:rsidRPr="00EC790C" w:rsidRDefault="00EC790C" w:rsidP="00EC790C">
      <w:pPr>
        <w:pStyle w:val="corte4fondo"/>
        <w:tabs>
          <w:tab w:val="left" w:pos="0"/>
        </w:tabs>
        <w:spacing w:after="360" w:line="360" w:lineRule="auto"/>
        <w:rPr>
          <w:b/>
          <w:sz w:val="26"/>
          <w:szCs w:val="26"/>
          <w:lang w:eastAsia="es-MX"/>
        </w:rPr>
      </w:pPr>
      <w:r w:rsidRPr="00EC790C">
        <w:rPr>
          <w:b/>
          <w:sz w:val="26"/>
          <w:szCs w:val="26"/>
          <w:lang w:eastAsia="es-MX"/>
        </w:rPr>
        <w:t>En relación con el punto resolutivo tercero:</w:t>
      </w:r>
    </w:p>
    <w:p w:rsidR="00EC790C" w:rsidRPr="00EC790C" w:rsidRDefault="00EC790C" w:rsidP="00EC790C">
      <w:pPr>
        <w:pStyle w:val="corte4fondo"/>
        <w:tabs>
          <w:tab w:val="left" w:pos="0"/>
        </w:tabs>
        <w:spacing w:after="360" w:line="360" w:lineRule="auto"/>
        <w:rPr>
          <w:sz w:val="26"/>
          <w:szCs w:val="26"/>
          <w:lang w:eastAsia="es-MX"/>
        </w:rPr>
      </w:pPr>
      <w:r w:rsidRPr="00EC790C">
        <w:rPr>
          <w:sz w:val="26"/>
          <w:szCs w:val="26"/>
          <w:lang w:eastAsia="es-MX"/>
        </w:rPr>
        <w:t xml:space="preserve">Se aprobó por mayoría de nueve votos de las señoras </w:t>
      </w:r>
      <w:r>
        <w:rPr>
          <w:sz w:val="26"/>
          <w:szCs w:val="26"/>
          <w:lang w:eastAsia="es-MX"/>
        </w:rPr>
        <w:t>ministras</w:t>
      </w:r>
      <w:r w:rsidRPr="00EC790C">
        <w:rPr>
          <w:sz w:val="26"/>
          <w:szCs w:val="26"/>
          <w:lang w:eastAsia="es-MX"/>
        </w:rPr>
        <w:t xml:space="preserve"> y los señores </w:t>
      </w:r>
      <w:r>
        <w:rPr>
          <w:sz w:val="26"/>
          <w:szCs w:val="26"/>
          <w:lang w:eastAsia="es-MX"/>
        </w:rPr>
        <w:t>ministros</w:t>
      </w:r>
      <w:r w:rsidRPr="00EC790C">
        <w:rPr>
          <w:sz w:val="26"/>
          <w:szCs w:val="26"/>
          <w:lang w:eastAsia="es-MX"/>
        </w:rPr>
        <w:t xml:space="preserve"> Gutiérrez Ortiz Mena, Esquivel Mossa, Franco González Salas, Aguilar Morales, Pardo Rebolledo, Ríos Farjat, Laynez Potisek, Pérez Dayán y Presidente Zaldívar Lelo de Larrea, respecto del apartado </w:t>
      </w:r>
      <w:r w:rsidRPr="00EC790C">
        <w:rPr>
          <w:b/>
          <w:sz w:val="26"/>
          <w:szCs w:val="26"/>
          <w:lang w:eastAsia="es-MX"/>
        </w:rPr>
        <w:t>V</w:t>
      </w:r>
      <w:r w:rsidRPr="00EC790C">
        <w:rPr>
          <w:sz w:val="26"/>
          <w:szCs w:val="26"/>
          <w:lang w:eastAsia="es-MX"/>
        </w:rPr>
        <w:t xml:space="preserve">, relativo a los efectos, consistente en: 2) determinar que las declaraciones de invalidez decretadas en este fallo surtirán sus efectos a los doce meses siguientes a la notificación de los puntos resolutivos de esta sentencia al Congreso del Estado de Chihuahua, en términos de la acción de inconstitucionalidad 81/2018. El señor </w:t>
      </w:r>
      <w:r>
        <w:rPr>
          <w:sz w:val="26"/>
          <w:szCs w:val="26"/>
          <w:lang w:eastAsia="es-MX"/>
        </w:rPr>
        <w:t>ministro</w:t>
      </w:r>
      <w:r w:rsidRPr="00EC790C">
        <w:rPr>
          <w:sz w:val="26"/>
          <w:szCs w:val="26"/>
          <w:lang w:eastAsia="es-MX"/>
        </w:rPr>
        <w:t xml:space="preserve"> González Alcántara Carrancá y la señora </w:t>
      </w:r>
      <w:r>
        <w:rPr>
          <w:sz w:val="26"/>
          <w:szCs w:val="26"/>
          <w:lang w:eastAsia="es-MX"/>
        </w:rPr>
        <w:t>ministra</w:t>
      </w:r>
      <w:r w:rsidRPr="00EC790C">
        <w:rPr>
          <w:sz w:val="26"/>
          <w:szCs w:val="26"/>
          <w:lang w:eastAsia="es-MX"/>
        </w:rPr>
        <w:t xml:space="preserve"> Piña Hernández votaron en contra.</w:t>
      </w:r>
    </w:p>
    <w:p w:rsidR="00EC790C" w:rsidRPr="00EC790C" w:rsidRDefault="00EC790C" w:rsidP="00EC790C">
      <w:pPr>
        <w:pStyle w:val="corte4fondo"/>
        <w:tabs>
          <w:tab w:val="left" w:pos="0"/>
        </w:tabs>
        <w:spacing w:after="360" w:line="360" w:lineRule="auto"/>
        <w:rPr>
          <w:b/>
          <w:sz w:val="26"/>
          <w:szCs w:val="26"/>
          <w:lang w:eastAsia="es-MX"/>
        </w:rPr>
      </w:pPr>
      <w:r w:rsidRPr="00EC790C">
        <w:rPr>
          <w:b/>
          <w:sz w:val="26"/>
          <w:szCs w:val="26"/>
          <w:lang w:eastAsia="es-MX"/>
        </w:rPr>
        <w:t>En relación con el punto resolutivo cuarto:</w:t>
      </w:r>
    </w:p>
    <w:p w:rsidR="00EC790C" w:rsidRPr="00EC790C" w:rsidRDefault="00EC790C" w:rsidP="00EC790C">
      <w:pPr>
        <w:pStyle w:val="corte4fondo"/>
        <w:tabs>
          <w:tab w:val="left" w:pos="0"/>
        </w:tabs>
        <w:spacing w:after="360" w:line="360" w:lineRule="auto"/>
        <w:rPr>
          <w:sz w:val="26"/>
          <w:szCs w:val="26"/>
          <w:lang w:eastAsia="es-MX"/>
        </w:rPr>
      </w:pPr>
      <w:r w:rsidRPr="00EC790C">
        <w:rPr>
          <w:sz w:val="26"/>
          <w:szCs w:val="26"/>
          <w:lang w:eastAsia="es-MX"/>
        </w:rPr>
        <w:t xml:space="preserve">Se aprobó por unanimidad de once votos de las señoras </w:t>
      </w:r>
      <w:r>
        <w:rPr>
          <w:sz w:val="26"/>
          <w:szCs w:val="26"/>
          <w:lang w:eastAsia="es-MX"/>
        </w:rPr>
        <w:t>ministras</w:t>
      </w:r>
      <w:r w:rsidRPr="00EC790C">
        <w:rPr>
          <w:sz w:val="26"/>
          <w:szCs w:val="26"/>
          <w:lang w:eastAsia="es-MX"/>
        </w:rPr>
        <w:t xml:space="preserve"> y los señores </w:t>
      </w:r>
      <w:r>
        <w:rPr>
          <w:sz w:val="26"/>
          <w:szCs w:val="26"/>
          <w:lang w:eastAsia="es-MX"/>
        </w:rPr>
        <w:t>ministros</w:t>
      </w:r>
      <w:r w:rsidRPr="00EC790C">
        <w:rPr>
          <w:sz w:val="26"/>
          <w:szCs w:val="26"/>
          <w:lang w:eastAsia="es-MX"/>
        </w:rPr>
        <w:t xml:space="preserve"> Gutiérrez Ortiz Mena, González Alcántara Carrancá, Esquivel Mossa, Franco González Salas, Aguilar Morales, Pardo Rebolledo, Piña Hernández, Ríos Farjat, Laynez Potisek, Pérez Dayán y Presidente Zaldívar Lelo de Larrea.</w:t>
      </w:r>
    </w:p>
    <w:p w:rsidR="00892304" w:rsidRPr="00892304" w:rsidRDefault="00892304" w:rsidP="00892304">
      <w:pPr>
        <w:pStyle w:val="corte4fondo"/>
        <w:tabs>
          <w:tab w:val="left" w:pos="0"/>
        </w:tabs>
        <w:spacing w:after="360" w:line="360" w:lineRule="auto"/>
        <w:ind w:firstLine="0"/>
        <w:rPr>
          <w:sz w:val="26"/>
          <w:szCs w:val="26"/>
          <w:lang w:eastAsia="es-MX"/>
        </w:rPr>
      </w:pPr>
      <w:r>
        <w:rPr>
          <w:sz w:val="26"/>
          <w:szCs w:val="26"/>
          <w:lang w:eastAsia="es-MX"/>
        </w:rPr>
        <w:lastRenderedPageBreak/>
        <w:tab/>
      </w:r>
      <w:r w:rsidR="00EC790C" w:rsidRPr="00EC790C">
        <w:rPr>
          <w:sz w:val="26"/>
          <w:szCs w:val="26"/>
          <w:lang w:eastAsia="es-MX"/>
        </w:rPr>
        <w:t xml:space="preserve">El señor </w:t>
      </w:r>
      <w:r w:rsidR="00EC790C">
        <w:rPr>
          <w:sz w:val="26"/>
          <w:szCs w:val="26"/>
          <w:lang w:eastAsia="es-MX"/>
        </w:rPr>
        <w:t>ministro</w:t>
      </w:r>
      <w:r w:rsidR="00EC790C" w:rsidRPr="00EC790C">
        <w:rPr>
          <w:sz w:val="26"/>
          <w:szCs w:val="26"/>
          <w:lang w:eastAsia="es-MX"/>
        </w:rPr>
        <w:t xml:space="preserve"> Presidente Zaldívar Lelo de Larrea declaró que el asunto se resolvió en</w:t>
      </w:r>
      <w:r>
        <w:rPr>
          <w:sz w:val="26"/>
          <w:szCs w:val="26"/>
          <w:lang w:eastAsia="es-MX"/>
        </w:rPr>
        <w:t xml:space="preserve"> los términos precisados.</w:t>
      </w:r>
    </w:p>
    <w:p w:rsidR="00892304" w:rsidRPr="00503EC5" w:rsidRDefault="00892304" w:rsidP="00503EC5">
      <w:pPr>
        <w:spacing w:before="120" w:after="240" w:line="360" w:lineRule="auto"/>
        <w:ind w:firstLine="567"/>
        <w:jc w:val="both"/>
        <w:rPr>
          <w:rFonts w:ascii="Arial" w:eastAsia="Times New Roman" w:hAnsi="Arial" w:cs="Arial"/>
          <w:sz w:val="26"/>
          <w:szCs w:val="26"/>
          <w:lang w:eastAsia="es-ES"/>
        </w:rPr>
      </w:pPr>
      <w:r w:rsidRPr="005B5BC3">
        <w:rPr>
          <w:rFonts w:ascii="Arial" w:eastAsia="Times New Roman" w:hAnsi="Arial" w:cs="Arial"/>
          <w:bCs/>
          <w:color w:val="000000"/>
          <w:sz w:val="26"/>
          <w:szCs w:val="26"/>
          <w:lang w:eastAsia="es-ES"/>
        </w:rPr>
        <w:t>Firman los señores ministros Presidente y Ponente, con el Secretario de Acuerdos que da fe.</w:t>
      </w:r>
    </w:p>
    <w:p w:rsidR="00892304" w:rsidRPr="005B5BC3" w:rsidRDefault="00892304" w:rsidP="00892304">
      <w:pPr>
        <w:spacing w:line="240" w:lineRule="auto"/>
        <w:jc w:val="center"/>
        <w:rPr>
          <w:rFonts w:ascii="Arial" w:eastAsia="Times New Roman" w:hAnsi="Arial" w:cs="Arial"/>
          <w:b/>
          <w:bCs/>
          <w:color w:val="000000"/>
          <w:sz w:val="26"/>
          <w:szCs w:val="26"/>
          <w:lang w:eastAsia="es-ES"/>
        </w:rPr>
      </w:pPr>
      <w:r w:rsidRPr="005B5BC3">
        <w:rPr>
          <w:rFonts w:ascii="Arial" w:eastAsia="Times New Roman" w:hAnsi="Arial" w:cs="Arial"/>
          <w:b/>
          <w:bCs/>
          <w:color w:val="000000"/>
          <w:sz w:val="26"/>
          <w:szCs w:val="26"/>
          <w:lang w:eastAsia="es-ES"/>
        </w:rPr>
        <w:t>PRESIDENTE DE LA SUPREMA CORTE DE JUSTICIA DE LA NACIÓN</w:t>
      </w:r>
    </w:p>
    <w:p w:rsidR="00892304" w:rsidRPr="005B5BC3" w:rsidRDefault="00892304" w:rsidP="00892304">
      <w:pPr>
        <w:spacing w:line="240" w:lineRule="auto"/>
        <w:jc w:val="center"/>
        <w:rPr>
          <w:rFonts w:ascii="Arial" w:eastAsia="Times New Roman" w:hAnsi="Arial" w:cs="Arial"/>
          <w:b/>
          <w:bCs/>
          <w:color w:val="000000"/>
          <w:sz w:val="26"/>
          <w:szCs w:val="26"/>
          <w:lang w:eastAsia="es-ES"/>
        </w:rPr>
      </w:pPr>
    </w:p>
    <w:p w:rsidR="00892304" w:rsidRPr="005B5BC3" w:rsidRDefault="00892304" w:rsidP="00892304">
      <w:pPr>
        <w:spacing w:line="240" w:lineRule="auto"/>
        <w:jc w:val="center"/>
        <w:rPr>
          <w:rFonts w:ascii="Arial" w:eastAsia="Times New Roman" w:hAnsi="Arial" w:cs="Arial"/>
          <w:b/>
          <w:color w:val="000000"/>
          <w:sz w:val="26"/>
          <w:szCs w:val="26"/>
          <w:lang w:val="es-ES_tradnl" w:eastAsia="es-ES"/>
        </w:rPr>
      </w:pPr>
      <w:r w:rsidRPr="005B5BC3">
        <w:rPr>
          <w:rFonts w:ascii="Arial" w:eastAsia="Times New Roman" w:hAnsi="Arial" w:cs="Arial"/>
          <w:b/>
          <w:color w:val="000000"/>
          <w:sz w:val="26"/>
          <w:szCs w:val="26"/>
          <w:lang w:val="es-ES_tradnl" w:eastAsia="es-ES"/>
        </w:rPr>
        <w:t>ARTURO ZALDÍVAR LELO DE LARREA</w:t>
      </w:r>
    </w:p>
    <w:p w:rsidR="00892304" w:rsidRPr="005B5BC3" w:rsidRDefault="00892304" w:rsidP="00892304">
      <w:pPr>
        <w:spacing w:line="240" w:lineRule="auto"/>
        <w:jc w:val="center"/>
        <w:rPr>
          <w:rFonts w:ascii="Arial" w:eastAsia="Times New Roman" w:hAnsi="Arial" w:cs="Arial"/>
          <w:b/>
          <w:color w:val="000000"/>
          <w:sz w:val="26"/>
          <w:szCs w:val="26"/>
          <w:lang w:val="es-ES_tradnl" w:eastAsia="es-ES"/>
        </w:rPr>
      </w:pPr>
    </w:p>
    <w:p w:rsidR="00892304" w:rsidRPr="005B5BC3" w:rsidRDefault="00892304" w:rsidP="00892304">
      <w:pPr>
        <w:spacing w:line="240" w:lineRule="auto"/>
        <w:rPr>
          <w:rFonts w:ascii="Arial" w:eastAsia="Times New Roman" w:hAnsi="Arial" w:cs="Arial"/>
          <w:b/>
          <w:color w:val="000000"/>
          <w:sz w:val="26"/>
          <w:szCs w:val="26"/>
          <w:lang w:val="es-ES_tradnl" w:eastAsia="es-ES"/>
        </w:rPr>
      </w:pPr>
    </w:p>
    <w:p w:rsidR="00892304" w:rsidRPr="005B5BC3" w:rsidRDefault="00892304" w:rsidP="00892304">
      <w:pPr>
        <w:spacing w:line="240" w:lineRule="auto"/>
        <w:jc w:val="center"/>
        <w:rPr>
          <w:rFonts w:ascii="Arial" w:eastAsia="Times New Roman" w:hAnsi="Arial" w:cs="Arial"/>
          <w:b/>
          <w:color w:val="000000"/>
          <w:sz w:val="26"/>
          <w:szCs w:val="26"/>
          <w:lang w:val="es-ES_tradnl" w:eastAsia="es-ES"/>
        </w:rPr>
      </w:pPr>
      <w:r w:rsidRPr="005B5BC3">
        <w:rPr>
          <w:rFonts w:ascii="Arial" w:eastAsia="Times New Roman" w:hAnsi="Arial" w:cs="Arial"/>
          <w:b/>
          <w:color w:val="000000"/>
          <w:sz w:val="26"/>
          <w:szCs w:val="26"/>
          <w:lang w:val="es-ES_tradnl" w:eastAsia="es-ES"/>
        </w:rPr>
        <w:t>MINISTRO PONENTE</w:t>
      </w:r>
    </w:p>
    <w:p w:rsidR="00892304" w:rsidRPr="005B5BC3" w:rsidRDefault="00892304" w:rsidP="00892304">
      <w:pPr>
        <w:spacing w:line="240" w:lineRule="auto"/>
        <w:rPr>
          <w:rFonts w:ascii="Arial" w:eastAsia="Times New Roman" w:hAnsi="Arial" w:cs="Arial"/>
          <w:b/>
          <w:color w:val="000000"/>
          <w:sz w:val="26"/>
          <w:szCs w:val="26"/>
          <w:lang w:val="es-ES_tradnl" w:eastAsia="es-ES"/>
        </w:rPr>
      </w:pPr>
    </w:p>
    <w:p w:rsidR="00892304" w:rsidRPr="005B5BC3" w:rsidRDefault="00892304" w:rsidP="00892304">
      <w:pPr>
        <w:spacing w:line="240" w:lineRule="auto"/>
        <w:jc w:val="center"/>
        <w:rPr>
          <w:rFonts w:ascii="Arial" w:eastAsia="Times New Roman" w:hAnsi="Arial" w:cs="Arial"/>
          <w:b/>
          <w:color w:val="000000"/>
          <w:sz w:val="26"/>
          <w:szCs w:val="26"/>
          <w:lang w:val="es-ES_tradnl" w:eastAsia="es-ES"/>
        </w:rPr>
      </w:pPr>
      <w:r w:rsidRPr="005B5BC3">
        <w:rPr>
          <w:rFonts w:ascii="Arial" w:eastAsia="Times New Roman" w:hAnsi="Arial" w:cs="Arial"/>
          <w:b/>
          <w:color w:val="000000"/>
          <w:sz w:val="26"/>
          <w:szCs w:val="26"/>
          <w:lang w:val="es-ES_tradnl" w:eastAsia="es-ES"/>
        </w:rPr>
        <w:t>JAVIER LAYNEZ POTISEK</w:t>
      </w:r>
    </w:p>
    <w:p w:rsidR="00892304" w:rsidRDefault="00892304" w:rsidP="00503EC5">
      <w:pPr>
        <w:spacing w:line="240" w:lineRule="auto"/>
        <w:rPr>
          <w:rFonts w:ascii="Arial" w:eastAsia="Times New Roman" w:hAnsi="Arial" w:cs="Arial"/>
          <w:b/>
          <w:color w:val="000000"/>
          <w:sz w:val="26"/>
          <w:szCs w:val="26"/>
          <w:lang w:val="es-ES_tradnl" w:eastAsia="es-ES"/>
        </w:rPr>
      </w:pPr>
    </w:p>
    <w:p w:rsidR="00161978" w:rsidRPr="005B5BC3" w:rsidRDefault="00161978" w:rsidP="00503EC5">
      <w:pPr>
        <w:spacing w:line="240" w:lineRule="auto"/>
        <w:rPr>
          <w:rFonts w:ascii="Arial" w:eastAsia="Times New Roman" w:hAnsi="Arial" w:cs="Arial"/>
          <w:b/>
          <w:color w:val="000000"/>
          <w:sz w:val="26"/>
          <w:szCs w:val="26"/>
          <w:lang w:val="es-ES_tradnl" w:eastAsia="es-ES"/>
        </w:rPr>
      </w:pPr>
    </w:p>
    <w:p w:rsidR="00892304" w:rsidRPr="005B5BC3" w:rsidRDefault="00892304" w:rsidP="00892304">
      <w:pPr>
        <w:spacing w:line="240" w:lineRule="auto"/>
        <w:jc w:val="center"/>
        <w:rPr>
          <w:rFonts w:ascii="Arial" w:eastAsia="Times New Roman" w:hAnsi="Arial" w:cs="Arial"/>
          <w:b/>
          <w:color w:val="000000"/>
          <w:sz w:val="26"/>
          <w:szCs w:val="26"/>
          <w:lang w:val="es-ES_tradnl" w:eastAsia="es-ES"/>
        </w:rPr>
      </w:pPr>
      <w:r w:rsidRPr="005B5BC3">
        <w:rPr>
          <w:rFonts w:ascii="Arial" w:eastAsia="Times New Roman" w:hAnsi="Arial" w:cs="Arial"/>
          <w:b/>
          <w:color w:val="000000"/>
          <w:sz w:val="26"/>
          <w:szCs w:val="26"/>
          <w:lang w:val="es-ES_tradnl" w:eastAsia="es-ES"/>
        </w:rPr>
        <w:t>SECRETARIO GENERAL DE ACUERDOS</w:t>
      </w:r>
    </w:p>
    <w:p w:rsidR="00892304" w:rsidRPr="005B5BC3" w:rsidRDefault="00892304" w:rsidP="00892304">
      <w:pPr>
        <w:spacing w:line="240" w:lineRule="auto"/>
        <w:jc w:val="center"/>
        <w:rPr>
          <w:rFonts w:ascii="Arial" w:eastAsia="Times New Roman" w:hAnsi="Arial" w:cs="Arial"/>
          <w:b/>
          <w:color w:val="000000"/>
          <w:sz w:val="26"/>
          <w:szCs w:val="26"/>
          <w:lang w:val="es-ES_tradnl" w:eastAsia="es-ES"/>
        </w:rPr>
      </w:pPr>
    </w:p>
    <w:p w:rsidR="00892304" w:rsidRPr="005B5BC3" w:rsidRDefault="00892304" w:rsidP="00892304">
      <w:pPr>
        <w:spacing w:after="120" w:line="360" w:lineRule="auto"/>
        <w:jc w:val="center"/>
        <w:rPr>
          <w:rFonts w:ascii="Arial" w:eastAsia="Times New Roman" w:hAnsi="Arial" w:cs="Arial"/>
          <w:b/>
          <w:color w:val="000000"/>
          <w:sz w:val="26"/>
          <w:szCs w:val="26"/>
          <w:lang w:val="es-ES_tradnl" w:eastAsia="es-ES"/>
        </w:rPr>
      </w:pPr>
      <w:r w:rsidRPr="005B5BC3">
        <w:rPr>
          <w:rFonts w:ascii="Arial" w:eastAsia="Times New Roman" w:hAnsi="Arial" w:cs="Arial"/>
          <w:b/>
          <w:color w:val="000000"/>
          <w:sz w:val="26"/>
          <w:szCs w:val="26"/>
          <w:lang w:val="es-ES_tradnl" w:eastAsia="es-ES"/>
        </w:rPr>
        <w:t>LIC. RAFAEL COELLO CETINA</w:t>
      </w:r>
    </w:p>
    <w:p w:rsidR="00892304" w:rsidRPr="005B5BC3" w:rsidRDefault="00892304" w:rsidP="00503EC5">
      <w:pPr>
        <w:spacing w:after="120" w:line="360" w:lineRule="auto"/>
        <w:ind w:firstLine="708"/>
        <w:jc w:val="both"/>
        <w:rPr>
          <w:rFonts w:ascii="Arial" w:eastAsia="Times New Roman" w:hAnsi="Arial" w:cs="Arial"/>
          <w:sz w:val="26"/>
          <w:szCs w:val="26"/>
          <w:lang w:val="es-ES_tradnl" w:eastAsia="es-MX"/>
        </w:rPr>
      </w:pPr>
      <w:r w:rsidRPr="005B5BC3">
        <w:rPr>
          <w:rFonts w:ascii="Arial" w:eastAsia="Times New Roman" w:hAnsi="Arial" w:cs="Arial"/>
          <w:sz w:val="26"/>
          <w:szCs w:val="26"/>
          <w:lang w:val="es-ES_tradnl" w:eastAsia="es-MX"/>
        </w:rPr>
        <w:t xml:space="preserve"> </w:t>
      </w:r>
    </w:p>
    <w:p w:rsidR="00892304" w:rsidRPr="00892304" w:rsidRDefault="00892304" w:rsidP="00892304">
      <w:pPr>
        <w:pStyle w:val="corte4fondo"/>
        <w:tabs>
          <w:tab w:val="left" w:pos="0"/>
        </w:tabs>
        <w:spacing w:after="360" w:line="240" w:lineRule="auto"/>
        <w:ind w:firstLine="0"/>
        <w:rPr>
          <w:b/>
          <w:sz w:val="26"/>
          <w:szCs w:val="26"/>
          <w:lang w:val="es-MX" w:eastAsia="es-ES"/>
        </w:rPr>
      </w:pPr>
      <w:r w:rsidRPr="005B5BC3">
        <w:rPr>
          <w:sz w:val="26"/>
          <w:szCs w:val="26"/>
          <w:lang w:eastAsia="es-ES"/>
        </w:rPr>
        <w:t xml:space="preserve">Esta foja corresponde a </w:t>
      </w:r>
      <w:r>
        <w:rPr>
          <w:sz w:val="26"/>
          <w:szCs w:val="26"/>
          <w:lang w:eastAsia="es-ES"/>
        </w:rPr>
        <w:t>la acción de inconstitucionalidad 201</w:t>
      </w:r>
      <w:r w:rsidRPr="005B5BC3">
        <w:rPr>
          <w:sz w:val="26"/>
          <w:szCs w:val="26"/>
          <w:lang w:eastAsia="es-ES"/>
        </w:rPr>
        <w:t>/20</w:t>
      </w:r>
      <w:r>
        <w:rPr>
          <w:sz w:val="26"/>
          <w:szCs w:val="26"/>
          <w:lang w:eastAsia="es-ES"/>
        </w:rPr>
        <w:t>20</w:t>
      </w:r>
      <w:r w:rsidRPr="005B5BC3">
        <w:rPr>
          <w:sz w:val="26"/>
          <w:szCs w:val="26"/>
          <w:lang w:eastAsia="es-ES"/>
        </w:rPr>
        <w:t xml:space="preserve">. Promovente: </w:t>
      </w:r>
      <w:r>
        <w:rPr>
          <w:sz w:val="26"/>
          <w:szCs w:val="26"/>
          <w:lang w:eastAsia="es-ES"/>
        </w:rPr>
        <w:t>Comisión Nacional de los Derechos Humanos</w:t>
      </w:r>
      <w:r w:rsidRPr="005B5BC3">
        <w:rPr>
          <w:sz w:val="26"/>
          <w:szCs w:val="26"/>
          <w:lang w:eastAsia="es-ES"/>
        </w:rPr>
        <w:t xml:space="preserve">, fallada el </w:t>
      </w:r>
      <w:r>
        <w:rPr>
          <w:sz w:val="26"/>
          <w:szCs w:val="26"/>
          <w:lang w:eastAsia="es-ES"/>
        </w:rPr>
        <w:t>diez</w:t>
      </w:r>
      <w:r w:rsidRPr="005B5BC3">
        <w:rPr>
          <w:sz w:val="26"/>
          <w:szCs w:val="26"/>
          <w:lang w:eastAsia="es-ES"/>
        </w:rPr>
        <w:t xml:space="preserve"> de noviembre de dos mil veinte, en el sentido siguiente; </w:t>
      </w:r>
      <w:r w:rsidRPr="00892304">
        <w:rPr>
          <w:b/>
          <w:sz w:val="26"/>
          <w:szCs w:val="26"/>
          <w:lang w:val="es-MX" w:eastAsia="es-ES"/>
        </w:rPr>
        <w:t xml:space="preserve">PRIMERO. </w:t>
      </w:r>
      <w:r w:rsidRPr="00892304">
        <w:rPr>
          <w:sz w:val="26"/>
          <w:szCs w:val="26"/>
          <w:lang w:val="es-MX" w:eastAsia="es-ES"/>
        </w:rPr>
        <w:t>Es procedente y fundada la presente acción de inconstitucionalidad.</w:t>
      </w:r>
      <w:r>
        <w:rPr>
          <w:b/>
          <w:sz w:val="26"/>
          <w:szCs w:val="26"/>
          <w:lang w:val="es-MX" w:eastAsia="es-ES"/>
        </w:rPr>
        <w:t xml:space="preserve"> </w:t>
      </w:r>
      <w:r w:rsidRPr="00892304">
        <w:rPr>
          <w:b/>
          <w:sz w:val="26"/>
          <w:szCs w:val="26"/>
          <w:lang w:val="es-MX" w:eastAsia="es-ES"/>
        </w:rPr>
        <w:t xml:space="preserve">SEGUNDO. </w:t>
      </w:r>
      <w:r w:rsidRPr="00892304">
        <w:rPr>
          <w:sz w:val="26"/>
          <w:szCs w:val="26"/>
          <w:lang w:eastAsia="es-ES"/>
        </w:rPr>
        <w:t>Se declara la invalidez de los Decretos N° LXVI/RFCNT/0512/2019 I P.O., LXVI/RFLEY/0513/2019 I P.O., LXVI/RFLEY/0665/2020 III P.E. y LXVI/RFLEY/0666/2020 III P.E., publicados en el Periódico Oficial del Estado de Chihuahua el cuatro de marzo</w:t>
      </w:r>
      <w:r w:rsidR="00161978">
        <w:rPr>
          <w:sz w:val="26"/>
          <w:szCs w:val="26"/>
          <w:lang w:eastAsia="es-ES"/>
        </w:rPr>
        <w:t xml:space="preserve"> de dos mil veinte</w:t>
      </w:r>
      <w:r w:rsidRPr="00892304">
        <w:rPr>
          <w:sz w:val="26"/>
          <w:szCs w:val="26"/>
          <w:lang w:eastAsia="es-ES"/>
        </w:rPr>
        <w:t>, en atención a lo expuesto en el apartado</w:t>
      </w:r>
      <w:r w:rsidRPr="00892304">
        <w:rPr>
          <w:b/>
          <w:sz w:val="26"/>
          <w:szCs w:val="26"/>
          <w:lang w:eastAsia="es-ES"/>
        </w:rPr>
        <w:t xml:space="preserve"> IV </w:t>
      </w:r>
      <w:r w:rsidRPr="00892304">
        <w:rPr>
          <w:sz w:val="26"/>
          <w:szCs w:val="26"/>
          <w:lang w:eastAsia="es-ES"/>
        </w:rPr>
        <w:t>de esta decisión y, por extensión, la del Decreto N° LXVI/DRFCT/0688/2020 I D.P., publicado en esa misma fecha y medio de difusión oficial, en términos del apartado</w:t>
      </w:r>
      <w:r w:rsidRPr="00892304">
        <w:rPr>
          <w:b/>
          <w:sz w:val="26"/>
          <w:szCs w:val="26"/>
          <w:lang w:eastAsia="es-ES"/>
        </w:rPr>
        <w:t xml:space="preserve"> V </w:t>
      </w:r>
      <w:r w:rsidRPr="00892304">
        <w:rPr>
          <w:sz w:val="26"/>
          <w:szCs w:val="26"/>
          <w:lang w:eastAsia="es-ES"/>
        </w:rPr>
        <w:t xml:space="preserve">de esta determinación. </w:t>
      </w:r>
      <w:r w:rsidRPr="00892304">
        <w:rPr>
          <w:b/>
          <w:sz w:val="26"/>
          <w:szCs w:val="26"/>
          <w:lang w:val="es-MX" w:eastAsia="es-ES"/>
        </w:rPr>
        <w:t xml:space="preserve">TERCERO. </w:t>
      </w:r>
      <w:r w:rsidRPr="00892304">
        <w:rPr>
          <w:sz w:val="26"/>
          <w:szCs w:val="26"/>
          <w:lang w:val="es-MX" w:eastAsia="es-ES"/>
        </w:rPr>
        <w:t>Las declaraciones de invalidez decretadas en este fallo surtirán sus efectos a los doce meses siguientes a la notificación de estos puntos resolutivos al Congreso del Estado de Chihuahua, en los términos precisados en el apartado</w:t>
      </w:r>
      <w:r w:rsidRPr="00892304">
        <w:rPr>
          <w:b/>
          <w:sz w:val="26"/>
          <w:szCs w:val="26"/>
          <w:lang w:val="es-MX" w:eastAsia="es-ES"/>
        </w:rPr>
        <w:t xml:space="preserve"> V </w:t>
      </w:r>
      <w:r w:rsidRPr="00892304">
        <w:rPr>
          <w:sz w:val="26"/>
          <w:szCs w:val="26"/>
          <w:lang w:val="es-MX" w:eastAsia="es-ES"/>
        </w:rPr>
        <w:t>de la presente ejecutoria.</w:t>
      </w:r>
      <w:r>
        <w:rPr>
          <w:b/>
          <w:sz w:val="26"/>
          <w:szCs w:val="26"/>
          <w:lang w:val="es-MX" w:eastAsia="es-ES"/>
        </w:rPr>
        <w:t xml:space="preserve"> </w:t>
      </w:r>
      <w:r w:rsidRPr="00892304">
        <w:rPr>
          <w:b/>
          <w:sz w:val="26"/>
          <w:szCs w:val="26"/>
          <w:lang w:val="es-MX" w:eastAsia="es-ES"/>
        </w:rPr>
        <w:t xml:space="preserve">CUARTO. </w:t>
      </w:r>
      <w:r w:rsidRPr="00892304">
        <w:rPr>
          <w:sz w:val="26"/>
          <w:szCs w:val="26"/>
          <w:lang w:val="es-MX" w:eastAsia="es-ES"/>
        </w:rPr>
        <w:t>Publíquese esta resolución en el Diario Oficial de la Federación, en el Periódico Oficial del Estado de Chihuahua, así como en el Semanario Judicial de la Federación y su Gaceta.</w:t>
      </w:r>
      <w:r w:rsidRPr="005B5BC3">
        <w:rPr>
          <w:sz w:val="26"/>
          <w:szCs w:val="26"/>
          <w:lang w:eastAsia="es-ES"/>
        </w:rPr>
        <w:t xml:space="preserve"> </w:t>
      </w:r>
      <w:r w:rsidRPr="005B5BC3">
        <w:rPr>
          <w:b/>
          <w:sz w:val="26"/>
          <w:szCs w:val="26"/>
          <w:lang w:eastAsia="es-ES"/>
        </w:rPr>
        <w:t>Conste.</w:t>
      </w:r>
    </w:p>
    <w:sectPr w:rsidR="00892304" w:rsidRPr="00892304" w:rsidSect="001D5281">
      <w:headerReference w:type="even" r:id="rId8"/>
      <w:headerReference w:type="default" r:id="rId9"/>
      <w:footerReference w:type="even" r:id="rId10"/>
      <w:footerReference w:type="default" r:id="rId11"/>
      <w:headerReference w:type="first" r:id="rId12"/>
      <w:footerReference w:type="first" r:id="rId13"/>
      <w:pgSz w:w="12242" w:h="19442" w:code="1000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8B8" w:rsidRDefault="00B738B8" w:rsidP="00BB6850">
      <w:pPr>
        <w:spacing w:after="0" w:line="240" w:lineRule="auto"/>
      </w:pPr>
      <w:r>
        <w:separator/>
      </w:r>
    </w:p>
  </w:endnote>
  <w:endnote w:type="continuationSeparator" w:id="0">
    <w:p w:rsidR="00B738B8" w:rsidRDefault="00B738B8" w:rsidP="00BB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Light">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014378"/>
      <w:docPartObj>
        <w:docPartGallery w:val="Page Numbers (Bottom of Page)"/>
        <w:docPartUnique/>
      </w:docPartObj>
    </w:sdtPr>
    <w:sdtEndPr>
      <w:rPr>
        <w:rFonts w:ascii="Arial" w:hAnsi="Arial" w:cs="Arial"/>
        <w:sz w:val="26"/>
        <w:szCs w:val="26"/>
      </w:rPr>
    </w:sdtEndPr>
    <w:sdtContent>
      <w:p w:rsidR="001771F9" w:rsidRDefault="001771F9" w:rsidP="00343185">
        <w:pPr>
          <w:pStyle w:val="Piedepgina"/>
          <w:jc w:val="right"/>
        </w:pPr>
      </w:p>
      <w:p w:rsidR="001771F9" w:rsidRPr="008B5134" w:rsidRDefault="001771F9" w:rsidP="00343185">
        <w:pPr>
          <w:pStyle w:val="Piedepgina"/>
          <w:jc w:val="right"/>
          <w:rPr>
            <w:rFonts w:ascii="Arial" w:hAnsi="Arial" w:cs="Arial"/>
            <w:sz w:val="26"/>
            <w:szCs w:val="26"/>
          </w:rPr>
        </w:pPr>
        <w:r w:rsidRPr="008B5134">
          <w:rPr>
            <w:rFonts w:ascii="Arial" w:hAnsi="Arial" w:cs="Arial"/>
            <w:sz w:val="26"/>
            <w:szCs w:val="26"/>
          </w:rPr>
          <w:fldChar w:fldCharType="begin"/>
        </w:r>
        <w:r w:rsidRPr="008B5134">
          <w:rPr>
            <w:rFonts w:ascii="Arial" w:hAnsi="Arial" w:cs="Arial"/>
            <w:sz w:val="26"/>
            <w:szCs w:val="26"/>
          </w:rPr>
          <w:instrText>PAGE   \* MERGEFORMAT</w:instrText>
        </w:r>
        <w:r w:rsidRPr="008B5134">
          <w:rPr>
            <w:rFonts w:ascii="Arial" w:hAnsi="Arial" w:cs="Arial"/>
            <w:sz w:val="26"/>
            <w:szCs w:val="26"/>
          </w:rPr>
          <w:fldChar w:fldCharType="separate"/>
        </w:r>
        <w:r w:rsidR="00D40F40" w:rsidRPr="00D40F40">
          <w:rPr>
            <w:rFonts w:ascii="Arial" w:hAnsi="Arial" w:cs="Arial"/>
            <w:noProof/>
            <w:sz w:val="26"/>
            <w:szCs w:val="26"/>
            <w:lang w:val="es-ES"/>
          </w:rPr>
          <w:t>42</w:t>
        </w:r>
        <w:r w:rsidRPr="008B5134">
          <w:rPr>
            <w:rFonts w:ascii="Arial" w:hAnsi="Arial" w:cs="Arial"/>
            <w:sz w:val="26"/>
            <w:szCs w:val="26"/>
          </w:rPr>
          <w:fldChar w:fldCharType="end"/>
        </w:r>
      </w:p>
    </w:sdtContent>
  </w:sdt>
  <w:p w:rsidR="001771F9" w:rsidRDefault="001771F9" w:rsidP="00343185">
    <w:pPr>
      <w:pStyle w:val="Piedepgina"/>
      <w:tabs>
        <w:tab w:val="clear" w:pos="4419"/>
        <w:tab w:val="clear" w:pos="8838"/>
        <w:tab w:val="left" w:pos="1277"/>
      </w:tabs>
    </w:pPr>
  </w:p>
  <w:p w:rsidR="001771F9" w:rsidRDefault="001771F9">
    <w:pPr>
      <w:pStyle w:val="Piedepgina"/>
    </w:pPr>
  </w:p>
  <w:p w:rsidR="001771F9" w:rsidRDefault="001771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600226"/>
      <w:docPartObj>
        <w:docPartGallery w:val="Page Numbers (Bottom of Page)"/>
        <w:docPartUnique/>
      </w:docPartObj>
    </w:sdtPr>
    <w:sdtEndPr>
      <w:rPr>
        <w:rFonts w:ascii="Arial" w:hAnsi="Arial" w:cs="Arial"/>
        <w:sz w:val="26"/>
        <w:szCs w:val="26"/>
      </w:rPr>
    </w:sdtEndPr>
    <w:sdtContent>
      <w:p w:rsidR="001771F9" w:rsidRDefault="001771F9" w:rsidP="00343185">
        <w:pPr>
          <w:pStyle w:val="Piedepgina"/>
          <w:jc w:val="right"/>
        </w:pPr>
      </w:p>
      <w:p w:rsidR="001771F9" w:rsidRPr="008B5134" w:rsidRDefault="001771F9" w:rsidP="00343185">
        <w:pPr>
          <w:pStyle w:val="Piedepgina"/>
          <w:jc w:val="right"/>
          <w:rPr>
            <w:rFonts w:ascii="Arial" w:hAnsi="Arial" w:cs="Arial"/>
            <w:sz w:val="26"/>
            <w:szCs w:val="26"/>
          </w:rPr>
        </w:pPr>
        <w:r w:rsidRPr="008B5134">
          <w:rPr>
            <w:rFonts w:ascii="Arial" w:hAnsi="Arial" w:cs="Arial"/>
            <w:sz w:val="26"/>
            <w:szCs w:val="26"/>
          </w:rPr>
          <w:fldChar w:fldCharType="begin"/>
        </w:r>
        <w:r w:rsidRPr="008B5134">
          <w:rPr>
            <w:rFonts w:ascii="Arial" w:hAnsi="Arial" w:cs="Arial"/>
            <w:sz w:val="26"/>
            <w:szCs w:val="26"/>
          </w:rPr>
          <w:instrText>PAGE   \* MERGEFORMAT</w:instrText>
        </w:r>
        <w:r w:rsidRPr="008B5134">
          <w:rPr>
            <w:rFonts w:ascii="Arial" w:hAnsi="Arial" w:cs="Arial"/>
            <w:sz w:val="26"/>
            <w:szCs w:val="26"/>
          </w:rPr>
          <w:fldChar w:fldCharType="separate"/>
        </w:r>
        <w:r w:rsidR="00D40F40" w:rsidRPr="00D40F40">
          <w:rPr>
            <w:rFonts w:ascii="Arial" w:hAnsi="Arial" w:cs="Arial"/>
            <w:noProof/>
            <w:sz w:val="26"/>
            <w:szCs w:val="26"/>
            <w:lang w:val="es-ES"/>
          </w:rPr>
          <w:t>41</w:t>
        </w:r>
        <w:r w:rsidRPr="008B5134">
          <w:rPr>
            <w:rFonts w:ascii="Arial" w:hAnsi="Arial" w:cs="Arial"/>
            <w:sz w:val="26"/>
            <w:szCs w:val="26"/>
          </w:rPr>
          <w:fldChar w:fldCharType="end"/>
        </w:r>
      </w:p>
    </w:sdtContent>
  </w:sdt>
  <w:p w:rsidR="001771F9" w:rsidRDefault="001771F9" w:rsidP="00343185">
    <w:pPr>
      <w:pStyle w:val="Piedepgina"/>
      <w:tabs>
        <w:tab w:val="clear" w:pos="4419"/>
        <w:tab w:val="clear" w:pos="8838"/>
        <w:tab w:val="left" w:pos="1277"/>
      </w:tabs>
    </w:pPr>
  </w:p>
  <w:p w:rsidR="001771F9" w:rsidRDefault="001771F9">
    <w:pPr>
      <w:pStyle w:val="Piedepgina"/>
    </w:pPr>
  </w:p>
  <w:p w:rsidR="001771F9" w:rsidRDefault="001771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F9" w:rsidRDefault="001771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8B8" w:rsidRDefault="00B738B8" w:rsidP="00BB6850">
      <w:pPr>
        <w:spacing w:after="0" w:line="240" w:lineRule="auto"/>
      </w:pPr>
      <w:r>
        <w:separator/>
      </w:r>
    </w:p>
  </w:footnote>
  <w:footnote w:type="continuationSeparator" w:id="0">
    <w:p w:rsidR="00B738B8" w:rsidRDefault="00B738B8" w:rsidP="00BB6850">
      <w:pPr>
        <w:spacing w:after="0" w:line="240" w:lineRule="auto"/>
      </w:pPr>
      <w:r>
        <w:continuationSeparator/>
      </w:r>
    </w:p>
  </w:footnote>
  <w:footnote w:id="1">
    <w:p w:rsidR="001771F9" w:rsidRPr="00E631B0" w:rsidRDefault="001771F9" w:rsidP="00ED665B">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 el expediente de la acción de inconstitucionalidad 201/2020, fojas</w:t>
      </w:r>
      <w:r>
        <w:rPr>
          <w:rFonts w:ascii="Arial" w:hAnsi="Arial" w:cs="Arial"/>
          <w:sz w:val="20"/>
          <w:szCs w:val="20"/>
        </w:rPr>
        <w:t xml:space="preserve"> 135 a 149</w:t>
      </w:r>
      <w:r w:rsidRPr="001349C2">
        <w:rPr>
          <w:rFonts w:ascii="Arial" w:hAnsi="Arial" w:cs="Arial"/>
          <w:sz w:val="20"/>
          <w:szCs w:val="20"/>
        </w:rPr>
        <w:t>.</w:t>
      </w:r>
      <w:r w:rsidRPr="00306BD7">
        <w:rPr>
          <w:rFonts w:ascii="Arial" w:hAnsi="Arial" w:cs="Arial"/>
          <w:color w:val="FF0000"/>
          <w:sz w:val="20"/>
          <w:szCs w:val="20"/>
        </w:rPr>
        <w:t xml:space="preserve"> </w:t>
      </w:r>
    </w:p>
  </w:footnote>
  <w:footnote w:id="2">
    <w:p w:rsidR="001771F9" w:rsidRPr="00E631B0" w:rsidRDefault="001771F9" w:rsidP="000F699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1349C2">
        <w:rPr>
          <w:rFonts w:ascii="Arial" w:hAnsi="Arial" w:cs="Arial"/>
          <w:i/>
          <w:sz w:val="20"/>
          <w:szCs w:val="20"/>
        </w:rPr>
        <w:t>ibíd.</w:t>
      </w:r>
      <w:r w:rsidRPr="00E631B0">
        <w:rPr>
          <w:rFonts w:ascii="Arial" w:hAnsi="Arial" w:cs="Arial"/>
          <w:sz w:val="20"/>
          <w:szCs w:val="20"/>
        </w:rPr>
        <w:t>, fojas</w:t>
      </w:r>
      <w:r>
        <w:rPr>
          <w:rFonts w:ascii="Arial" w:hAnsi="Arial" w:cs="Arial"/>
          <w:sz w:val="20"/>
          <w:szCs w:val="20"/>
        </w:rPr>
        <w:t xml:space="preserve"> 1 a 27.</w:t>
      </w:r>
      <w:r w:rsidRPr="00306BD7">
        <w:rPr>
          <w:rFonts w:ascii="Arial" w:hAnsi="Arial" w:cs="Arial"/>
          <w:color w:val="FF0000"/>
          <w:sz w:val="20"/>
          <w:szCs w:val="20"/>
        </w:rPr>
        <w:t xml:space="preserve"> </w:t>
      </w:r>
    </w:p>
  </w:footnote>
  <w:footnote w:id="3">
    <w:p w:rsidR="001771F9" w:rsidRPr="00E631B0" w:rsidRDefault="001771F9" w:rsidP="0052616B">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F55D37">
        <w:rPr>
          <w:rFonts w:ascii="Arial" w:hAnsi="Arial" w:cs="Arial"/>
          <w:i/>
          <w:sz w:val="20"/>
          <w:szCs w:val="20"/>
        </w:rPr>
        <w:t>ibíd.</w:t>
      </w:r>
      <w:r w:rsidRPr="00E631B0">
        <w:rPr>
          <w:rFonts w:ascii="Arial" w:hAnsi="Arial" w:cs="Arial"/>
          <w:sz w:val="20"/>
          <w:szCs w:val="20"/>
        </w:rPr>
        <w:t>, fojas</w:t>
      </w:r>
      <w:r>
        <w:rPr>
          <w:rFonts w:ascii="Arial" w:hAnsi="Arial" w:cs="Arial"/>
          <w:sz w:val="20"/>
          <w:szCs w:val="20"/>
        </w:rPr>
        <w:t xml:space="preserve"> 4 a 20</w:t>
      </w:r>
      <w:r w:rsidRPr="00306BD7">
        <w:rPr>
          <w:rFonts w:ascii="Arial" w:hAnsi="Arial" w:cs="Arial"/>
          <w:color w:val="FF0000"/>
          <w:sz w:val="20"/>
          <w:szCs w:val="20"/>
        </w:rPr>
        <w:t xml:space="preserve">. </w:t>
      </w:r>
    </w:p>
  </w:footnote>
  <w:footnote w:id="4">
    <w:p w:rsidR="001771F9" w:rsidRPr="00E631B0" w:rsidRDefault="001771F9" w:rsidP="0052616B">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F55D37">
        <w:rPr>
          <w:rFonts w:ascii="Arial" w:hAnsi="Arial" w:cs="Arial"/>
          <w:i/>
          <w:sz w:val="20"/>
          <w:szCs w:val="20"/>
        </w:rPr>
        <w:t>ibíd.</w:t>
      </w:r>
      <w:r w:rsidRPr="00E631B0">
        <w:rPr>
          <w:rFonts w:ascii="Arial" w:hAnsi="Arial" w:cs="Arial"/>
          <w:sz w:val="20"/>
          <w:szCs w:val="20"/>
        </w:rPr>
        <w:t>, fojas</w:t>
      </w:r>
      <w:r>
        <w:rPr>
          <w:rFonts w:ascii="Arial" w:hAnsi="Arial" w:cs="Arial"/>
          <w:sz w:val="20"/>
          <w:szCs w:val="20"/>
        </w:rPr>
        <w:t xml:space="preserve"> 20 a 26.</w:t>
      </w:r>
      <w:r w:rsidRPr="00306BD7">
        <w:rPr>
          <w:rFonts w:ascii="Arial" w:hAnsi="Arial" w:cs="Arial"/>
          <w:color w:val="FF0000"/>
          <w:sz w:val="20"/>
          <w:szCs w:val="20"/>
        </w:rPr>
        <w:t xml:space="preserve"> </w:t>
      </w:r>
    </w:p>
  </w:footnote>
  <w:footnote w:id="5">
    <w:p w:rsidR="001771F9" w:rsidRPr="00E631B0" w:rsidRDefault="001771F9" w:rsidP="00D3700A">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F55D37">
        <w:rPr>
          <w:rFonts w:ascii="Arial" w:hAnsi="Arial" w:cs="Arial"/>
          <w:i/>
          <w:sz w:val="20"/>
          <w:szCs w:val="20"/>
        </w:rPr>
        <w:t>ibíd.</w:t>
      </w:r>
      <w:r>
        <w:rPr>
          <w:rFonts w:ascii="Arial" w:hAnsi="Arial" w:cs="Arial"/>
          <w:sz w:val="20"/>
          <w:szCs w:val="20"/>
        </w:rPr>
        <w:t>, foja 36.</w:t>
      </w:r>
      <w:r w:rsidRPr="00306BD7">
        <w:rPr>
          <w:rFonts w:ascii="Arial" w:hAnsi="Arial" w:cs="Arial"/>
          <w:color w:val="FF0000"/>
          <w:sz w:val="20"/>
          <w:szCs w:val="20"/>
        </w:rPr>
        <w:t xml:space="preserve"> </w:t>
      </w:r>
    </w:p>
  </w:footnote>
  <w:footnote w:id="6">
    <w:p w:rsidR="001771F9" w:rsidRPr="00E631B0" w:rsidRDefault="001771F9" w:rsidP="009977F4">
      <w:pPr>
        <w:pStyle w:val="Sinespaciado"/>
        <w:jc w:val="both"/>
        <w:rPr>
          <w:rFonts w:ascii="Arial" w:hAnsi="Arial" w:cs="Arial"/>
          <w:sz w:val="20"/>
          <w:szCs w:val="20"/>
          <w:highlight w:val="cyan"/>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F55D37">
        <w:rPr>
          <w:rFonts w:ascii="Arial" w:hAnsi="Arial" w:cs="Arial"/>
          <w:i/>
          <w:sz w:val="20"/>
          <w:szCs w:val="20"/>
        </w:rPr>
        <w:t>ibíd.</w:t>
      </w:r>
      <w:r w:rsidRPr="00E631B0">
        <w:rPr>
          <w:rFonts w:ascii="Arial" w:hAnsi="Arial" w:cs="Arial"/>
          <w:sz w:val="20"/>
          <w:szCs w:val="20"/>
        </w:rPr>
        <w:t>, fojas</w:t>
      </w:r>
      <w:r>
        <w:rPr>
          <w:rFonts w:ascii="Arial" w:hAnsi="Arial" w:cs="Arial"/>
          <w:sz w:val="20"/>
          <w:szCs w:val="20"/>
        </w:rPr>
        <w:t xml:space="preserve"> 39 a 42.</w:t>
      </w:r>
    </w:p>
  </w:footnote>
  <w:footnote w:id="7">
    <w:p w:rsidR="001771F9" w:rsidRPr="00E631B0" w:rsidRDefault="001771F9" w:rsidP="00CB4CB3">
      <w:pPr>
        <w:pStyle w:val="Sinespaciado"/>
        <w:jc w:val="both"/>
        <w:rPr>
          <w:rFonts w:ascii="Arial" w:hAnsi="Arial" w:cs="Arial"/>
          <w:sz w:val="20"/>
          <w:szCs w:val="20"/>
          <w:highlight w:val="cyan"/>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1349C2">
        <w:rPr>
          <w:rFonts w:ascii="Arial" w:hAnsi="Arial" w:cs="Arial"/>
          <w:i/>
          <w:iCs/>
          <w:sz w:val="20"/>
          <w:szCs w:val="20"/>
        </w:rPr>
        <w:t>ibíd.</w:t>
      </w:r>
      <w:r w:rsidRPr="00E631B0">
        <w:rPr>
          <w:rFonts w:ascii="Arial" w:hAnsi="Arial" w:cs="Arial"/>
          <w:sz w:val="20"/>
          <w:szCs w:val="20"/>
        </w:rPr>
        <w:t xml:space="preserve">, fojas </w:t>
      </w:r>
      <w:r>
        <w:rPr>
          <w:rFonts w:ascii="Arial" w:hAnsi="Arial" w:cs="Arial"/>
          <w:sz w:val="20"/>
          <w:szCs w:val="20"/>
        </w:rPr>
        <w:t xml:space="preserve">94 a 107. </w:t>
      </w:r>
    </w:p>
  </w:footnote>
  <w:footnote w:id="8">
    <w:p w:rsidR="001771F9" w:rsidRPr="00E631B0" w:rsidRDefault="001771F9" w:rsidP="00380509">
      <w:pPr>
        <w:pStyle w:val="Sinespaciado"/>
        <w:jc w:val="both"/>
        <w:rPr>
          <w:rFonts w:ascii="Arial" w:hAnsi="Arial" w:cs="Arial"/>
          <w:sz w:val="20"/>
          <w:szCs w:val="20"/>
          <w:highlight w:val="cyan"/>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1349C2">
        <w:rPr>
          <w:rFonts w:ascii="Arial" w:hAnsi="Arial" w:cs="Arial"/>
          <w:i/>
          <w:iCs/>
          <w:sz w:val="20"/>
          <w:szCs w:val="20"/>
        </w:rPr>
        <w:t>ibíd.</w:t>
      </w:r>
      <w:r>
        <w:rPr>
          <w:rFonts w:ascii="Arial" w:hAnsi="Arial" w:cs="Arial"/>
          <w:sz w:val="20"/>
          <w:szCs w:val="20"/>
        </w:rPr>
        <w:t>, foja 170.</w:t>
      </w:r>
    </w:p>
  </w:footnote>
  <w:footnote w:id="9">
    <w:p w:rsidR="001771F9" w:rsidRPr="00E631B0" w:rsidRDefault="001771F9" w:rsidP="000F6990">
      <w:pPr>
        <w:pStyle w:val="Sinespaciado"/>
        <w:jc w:val="both"/>
        <w:rPr>
          <w:rFonts w:ascii="Arial" w:hAnsi="Arial" w:cs="Arial"/>
          <w:sz w:val="20"/>
          <w:szCs w:val="20"/>
          <w:highlight w:val="cyan"/>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1349C2">
        <w:rPr>
          <w:rFonts w:ascii="Arial" w:hAnsi="Arial" w:cs="Arial"/>
          <w:i/>
          <w:iCs/>
          <w:sz w:val="20"/>
          <w:szCs w:val="20"/>
        </w:rPr>
        <w:t>ibíd.</w:t>
      </w:r>
      <w:r w:rsidRPr="00E631B0">
        <w:rPr>
          <w:rFonts w:ascii="Arial" w:hAnsi="Arial" w:cs="Arial"/>
          <w:sz w:val="20"/>
          <w:szCs w:val="20"/>
        </w:rPr>
        <w:t>, fojas</w:t>
      </w:r>
      <w:r>
        <w:rPr>
          <w:rFonts w:ascii="Arial" w:hAnsi="Arial" w:cs="Arial"/>
          <w:sz w:val="20"/>
          <w:szCs w:val="20"/>
        </w:rPr>
        <w:t xml:space="preserve"> 177 a 188.</w:t>
      </w:r>
    </w:p>
  </w:footnote>
  <w:footnote w:id="10">
    <w:p w:rsidR="001771F9" w:rsidRPr="00E631B0" w:rsidRDefault="001771F9" w:rsidP="00D3700A">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940003">
        <w:rPr>
          <w:rFonts w:ascii="Arial" w:hAnsi="Arial" w:cs="Arial"/>
          <w:i/>
          <w:sz w:val="20"/>
          <w:szCs w:val="20"/>
        </w:rPr>
        <w:t>ibíd.</w:t>
      </w:r>
      <w:r w:rsidRPr="00E631B0">
        <w:rPr>
          <w:rFonts w:ascii="Arial" w:hAnsi="Arial" w:cs="Arial"/>
          <w:sz w:val="20"/>
          <w:szCs w:val="20"/>
        </w:rPr>
        <w:t>, fojas</w:t>
      </w:r>
      <w:r>
        <w:rPr>
          <w:rFonts w:ascii="Arial" w:hAnsi="Arial" w:cs="Arial"/>
          <w:sz w:val="20"/>
          <w:szCs w:val="20"/>
        </w:rPr>
        <w:t xml:space="preserve"> 203 a 225.</w:t>
      </w:r>
    </w:p>
  </w:footnote>
  <w:footnote w:id="11">
    <w:p w:rsidR="001771F9" w:rsidRPr="00E631B0" w:rsidRDefault="001771F9" w:rsidP="00E368CF">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1349C2">
        <w:rPr>
          <w:rFonts w:ascii="Arial" w:hAnsi="Arial" w:cs="Arial"/>
          <w:i/>
          <w:iCs/>
          <w:sz w:val="20"/>
          <w:szCs w:val="20"/>
        </w:rPr>
        <w:t>ibíd.</w:t>
      </w:r>
      <w:r>
        <w:rPr>
          <w:rFonts w:ascii="Arial" w:hAnsi="Arial" w:cs="Arial"/>
          <w:sz w:val="20"/>
          <w:szCs w:val="20"/>
        </w:rPr>
        <w:t>, foja 861.</w:t>
      </w:r>
    </w:p>
  </w:footnote>
  <w:footnote w:id="12">
    <w:p w:rsidR="001771F9" w:rsidRPr="00E631B0" w:rsidRDefault="001771F9" w:rsidP="00E2185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Pr>
          <w:rFonts w:ascii="Arial" w:hAnsi="Arial" w:cs="Arial"/>
          <w:i/>
          <w:iCs/>
          <w:sz w:val="20"/>
          <w:szCs w:val="20"/>
        </w:rPr>
        <w:t>ibí</w:t>
      </w:r>
      <w:r w:rsidRPr="00AA3D7B">
        <w:rPr>
          <w:rFonts w:ascii="Arial" w:hAnsi="Arial" w:cs="Arial"/>
          <w:i/>
          <w:iCs/>
          <w:sz w:val="20"/>
          <w:szCs w:val="20"/>
        </w:rPr>
        <w:t>d</w:t>
      </w:r>
      <w:r>
        <w:rPr>
          <w:rFonts w:ascii="Arial" w:hAnsi="Arial" w:cs="Arial"/>
          <w:sz w:val="20"/>
          <w:szCs w:val="20"/>
        </w:rPr>
        <w:t>., fojas 861 y 862.</w:t>
      </w:r>
    </w:p>
  </w:footnote>
  <w:footnote w:id="13">
    <w:p w:rsidR="001771F9" w:rsidRPr="00E631B0" w:rsidRDefault="001771F9" w:rsidP="000F699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w:t>
      </w:r>
      <w:r w:rsidRPr="00E21850">
        <w:rPr>
          <w:rFonts w:ascii="Arial" w:hAnsi="Arial" w:cs="Arial"/>
          <w:i/>
          <w:iCs/>
          <w:sz w:val="20"/>
          <w:szCs w:val="20"/>
        </w:rPr>
        <w:t xml:space="preserve"> </w:t>
      </w:r>
      <w:r w:rsidRPr="00AA3D7B">
        <w:rPr>
          <w:rFonts w:ascii="Arial" w:hAnsi="Arial" w:cs="Arial"/>
          <w:i/>
          <w:iCs/>
          <w:sz w:val="20"/>
          <w:szCs w:val="20"/>
        </w:rPr>
        <w:t>ibíd.</w:t>
      </w:r>
      <w:r w:rsidRPr="00E631B0">
        <w:rPr>
          <w:rFonts w:ascii="Arial" w:hAnsi="Arial" w:cs="Arial"/>
          <w:sz w:val="20"/>
          <w:szCs w:val="20"/>
        </w:rPr>
        <w:t>, fojas</w:t>
      </w:r>
      <w:r>
        <w:rPr>
          <w:rFonts w:ascii="Arial" w:hAnsi="Arial" w:cs="Arial"/>
          <w:sz w:val="20"/>
          <w:szCs w:val="20"/>
        </w:rPr>
        <w:t xml:space="preserve"> 876 a 882</w:t>
      </w:r>
      <w:r w:rsidRPr="006D100B">
        <w:rPr>
          <w:rFonts w:ascii="Arial" w:hAnsi="Arial" w:cs="Arial"/>
          <w:sz w:val="20"/>
          <w:szCs w:val="20"/>
        </w:rPr>
        <w:t xml:space="preserve"> y 886 a 904, respectivamente</w:t>
      </w:r>
      <w:r w:rsidRPr="00306BD7">
        <w:rPr>
          <w:rFonts w:ascii="Arial" w:hAnsi="Arial" w:cs="Arial"/>
          <w:color w:val="FF0000"/>
          <w:sz w:val="20"/>
          <w:szCs w:val="20"/>
        </w:rPr>
        <w:t>.</w:t>
      </w:r>
    </w:p>
  </w:footnote>
  <w:footnote w:id="14">
    <w:p w:rsidR="001771F9" w:rsidRPr="00E631B0" w:rsidRDefault="001771F9" w:rsidP="000F699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Véase </w:t>
      </w:r>
      <w:r w:rsidRPr="001349C2">
        <w:rPr>
          <w:rFonts w:ascii="Arial" w:hAnsi="Arial" w:cs="Arial"/>
          <w:i/>
          <w:iCs/>
          <w:sz w:val="20"/>
          <w:szCs w:val="20"/>
        </w:rPr>
        <w:t>ibíd.</w:t>
      </w:r>
      <w:r w:rsidRPr="00E631B0">
        <w:rPr>
          <w:rFonts w:ascii="Arial" w:hAnsi="Arial" w:cs="Arial"/>
          <w:sz w:val="20"/>
          <w:szCs w:val="20"/>
        </w:rPr>
        <w:t>, fojas</w:t>
      </w:r>
      <w:r>
        <w:rPr>
          <w:rFonts w:ascii="Arial" w:hAnsi="Arial" w:cs="Arial"/>
          <w:sz w:val="20"/>
          <w:szCs w:val="20"/>
        </w:rPr>
        <w:t xml:space="preserve"> 908 y 909.</w:t>
      </w:r>
    </w:p>
  </w:footnote>
  <w:footnote w:id="15">
    <w:p w:rsidR="001771F9" w:rsidRPr="00E631B0" w:rsidRDefault="001771F9" w:rsidP="000F699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w:t>
      </w:r>
      <w:r w:rsidRPr="00E631B0">
        <w:rPr>
          <w:rFonts w:ascii="Arial" w:hAnsi="Arial" w:cs="Arial"/>
          <w:b/>
          <w:sz w:val="20"/>
          <w:szCs w:val="20"/>
        </w:rPr>
        <w:t xml:space="preserve">Artículo 105. </w:t>
      </w:r>
      <w:r w:rsidRPr="00E631B0">
        <w:rPr>
          <w:rFonts w:ascii="Arial" w:hAnsi="Arial" w:cs="Arial"/>
          <w:sz w:val="20"/>
          <w:szCs w:val="20"/>
        </w:rPr>
        <w:t>La Suprema Corte de Justicia de la Nación conocerá, en los términos que señale la ley reglamentaria, de los asuntos siguientes: […]</w:t>
      </w:r>
    </w:p>
    <w:p w:rsidR="001771F9" w:rsidRPr="00E631B0" w:rsidRDefault="001771F9" w:rsidP="000F6990">
      <w:pPr>
        <w:pStyle w:val="Sinespaciado"/>
        <w:jc w:val="both"/>
        <w:rPr>
          <w:rFonts w:ascii="Arial" w:hAnsi="Arial" w:cs="Arial"/>
          <w:sz w:val="20"/>
          <w:szCs w:val="20"/>
        </w:rPr>
      </w:pPr>
      <w:r w:rsidRPr="00E631B0">
        <w:rPr>
          <w:rFonts w:ascii="Arial" w:hAnsi="Arial" w:cs="Arial"/>
          <w:sz w:val="20"/>
          <w:szCs w:val="20"/>
        </w:rPr>
        <w:t>II. De las acciones de inconstitucionalidad que tengan por objeto plantear la posible contradicción entre una norma de carácter general y esta Constitución.</w:t>
      </w:r>
    </w:p>
    <w:p w:rsidR="001771F9" w:rsidRPr="00E631B0" w:rsidRDefault="001771F9" w:rsidP="000F6990">
      <w:pPr>
        <w:pStyle w:val="Sinespaciado"/>
        <w:jc w:val="both"/>
        <w:rPr>
          <w:rFonts w:ascii="Arial" w:hAnsi="Arial" w:cs="Arial"/>
          <w:sz w:val="20"/>
          <w:szCs w:val="20"/>
        </w:rPr>
      </w:pPr>
      <w:r w:rsidRPr="00E631B0">
        <w:rPr>
          <w:rFonts w:ascii="Arial" w:hAnsi="Arial" w:cs="Arial"/>
          <w:sz w:val="20"/>
          <w:szCs w:val="20"/>
        </w:rPr>
        <w:t>Las acciones de inconstitucionalidad podrán ejercitarse, dentro de los treinta días naturales siguientes a la fecha de publicación de la norma, por: […]</w:t>
      </w:r>
    </w:p>
    <w:p w:rsidR="001771F9" w:rsidRPr="00E631B0" w:rsidRDefault="001771F9" w:rsidP="000F6990">
      <w:pPr>
        <w:pStyle w:val="Sinespaciado"/>
        <w:jc w:val="both"/>
        <w:rPr>
          <w:rFonts w:ascii="Arial" w:hAnsi="Arial" w:cs="Arial"/>
          <w:sz w:val="20"/>
          <w:szCs w:val="20"/>
        </w:rPr>
      </w:pPr>
      <w:r w:rsidRPr="00E631B0">
        <w:rPr>
          <w:rFonts w:ascii="Arial" w:hAnsi="Arial" w:cs="Arial"/>
          <w:sz w:val="20"/>
          <w:szCs w:val="20"/>
        </w:rPr>
        <w:t>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1771F9" w:rsidRPr="00E631B0" w:rsidRDefault="001771F9" w:rsidP="000F6990">
      <w:pPr>
        <w:pStyle w:val="Sinespaciado"/>
        <w:jc w:val="both"/>
        <w:rPr>
          <w:rFonts w:ascii="Arial" w:hAnsi="Arial" w:cs="Arial"/>
          <w:sz w:val="20"/>
          <w:szCs w:val="20"/>
        </w:rPr>
      </w:pPr>
      <w:r w:rsidRPr="00E631B0">
        <w:rPr>
          <w:rFonts w:ascii="Arial" w:hAnsi="Arial" w:cs="Arial"/>
          <w:sz w:val="20"/>
          <w:szCs w:val="20"/>
        </w:rPr>
        <w:t xml:space="preserve"> […].</w:t>
      </w:r>
    </w:p>
  </w:footnote>
  <w:footnote w:id="16">
    <w:p w:rsidR="001771F9" w:rsidRPr="00E631B0" w:rsidRDefault="001771F9" w:rsidP="000F699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w:t>
      </w:r>
      <w:r w:rsidRPr="00E631B0">
        <w:rPr>
          <w:rFonts w:ascii="Arial" w:hAnsi="Arial" w:cs="Arial"/>
          <w:b/>
          <w:sz w:val="20"/>
          <w:szCs w:val="20"/>
        </w:rPr>
        <w:t>Artículo 1.</w:t>
      </w:r>
      <w:r w:rsidRPr="00E631B0">
        <w:rPr>
          <w:rFonts w:ascii="Arial" w:hAnsi="Arial" w:cs="Arial"/>
          <w:sz w:val="20"/>
          <w:szCs w:val="20"/>
        </w:rPr>
        <w:t xml:space="preserve"> La Suprema Corte de Justicia de la Nación conocerá y resolverá con base en las disposiciones del presente Título, las controversias constitucionales y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17">
    <w:p w:rsidR="001771F9" w:rsidRPr="00E631B0" w:rsidRDefault="001771F9" w:rsidP="000F699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w:t>
      </w:r>
      <w:r w:rsidRPr="00E631B0">
        <w:rPr>
          <w:rFonts w:ascii="Arial" w:hAnsi="Arial" w:cs="Arial"/>
          <w:b/>
          <w:sz w:val="20"/>
          <w:szCs w:val="20"/>
        </w:rPr>
        <w:t>Artículo 10.</w:t>
      </w:r>
      <w:r w:rsidRPr="00E631B0">
        <w:rPr>
          <w:rFonts w:ascii="Arial" w:hAnsi="Arial" w:cs="Arial"/>
          <w:sz w:val="20"/>
          <w:szCs w:val="20"/>
        </w:rPr>
        <w:t xml:space="preserve"> La Suprema Corte de Justicia conocerá funcionando en Pleno:</w:t>
      </w:r>
    </w:p>
    <w:p w:rsidR="001771F9" w:rsidRPr="00E631B0" w:rsidRDefault="001771F9" w:rsidP="000F6990">
      <w:pPr>
        <w:pStyle w:val="Sinespaciado"/>
        <w:jc w:val="both"/>
        <w:rPr>
          <w:rFonts w:ascii="Arial" w:hAnsi="Arial" w:cs="Arial"/>
          <w:sz w:val="20"/>
          <w:szCs w:val="20"/>
        </w:rPr>
      </w:pPr>
      <w:r w:rsidRPr="00E631B0">
        <w:rPr>
          <w:rFonts w:ascii="Arial" w:hAnsi="Arial" w:cs="Arial"/>
          <w:sz w:val="20"/>
          <w:szCs w:val="20"/>
        </w:rPr>
        <w:t>I. De las controversias constitucionales y acciones de inconstitucionalidad a que se refieren las fracciones I y II del artículo 105 de la Constitución Política de los Estados Unidos Mexicanos;</w:t>
      </w:r>
    </w:p>
    <w:p w:rsidR="001771F9" w:rsidRPr="00E631B0" w:rsidRDefault="001771F9" w:rsidP="000F6990">
      <w:pPr>
        <w:pStyle w:val="Sinespaciado"/>
        <w:jc w:val="both"/>
        <w:rPr>
          <w:rFonts w:ascii="Arial" w:hAnsi="Arial" w:cs="Arial"/>
          <w:sz w:val="20"/>
          <w:szCs w:val="20"/>
        </w:rPr>
      </w:pPr>
      <w:r w:rsidRPr="00E631B0">
        <w:rPr>
          <w:rFonts w:ascii="Arial" w:hAnsi="Arial" w:cs="Arial"/>
          <w:sz w:val="20"/>
          <w:szCs w:val="20"/>
        </w:rPr>
        <w:t>[…].</w:t>
      </w:r>
    </w:p>
  </w:footnote>
  <w:footnote w:id="18">
    <w:p w:rsidR="001771F9" w:rsidRPr="00E631B0" w:rsidRDefault="001771F9" w:rsidP="000F699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w:t>
      </w:r>
      <w:r w:rsidRPr="00E631B0">
        <w:rPr>
          <w:rFonts w:ascii="Arial" w:hAnsi="Arial" w:cs="Arial"/>
          <w:b/>
          <w:sz w:val="20"/>
          <w:szCs w:val="20"/>
        </w:rPr>
        <w:t>Artículo 60.</w:t>
      </w:r>
      <w:r w:rsidRPr="00E631B0">
        <w:rPr>
          <w:rFonts w:ascii="Arial" w:hAnsi="Arial" w:cs="Arial"/>
          <w:sz w:val="20"/>
          <w:szCs w:val="20"/>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1771F9" w:rsidRPr="00E631B0" w:rsidRDefault="001771F9" w:rsidP="000F6990">
      <w:pPr>
        <w:pStyle w:val="Sinespaciado"/>
        <w:jc w:val="both"/>
        <w:rPr>
          <w:rFonts w:ascii="Arial" w:hAnsi="Arial" w:cs="Arial"/>
          <w:sz w:val="20"/>
          <w:szCs w:val="20"/>
        </w:rPr>
      </w:pPr>
      <w:r w:rsidRPr="00E631B0">
        <w:rPr>
          <w:rFonts w:ascii="Arial" w:hAnsi="Arial" w:cs="Arial"/>
          <w:sz w:val="20"/>
          <w:szCs w:val="20"/>
        </w:rPr>
        <w:t>En materia electoral, para el cómputo de los plazos, todos los días son hábiles.</w:t>
      </w:r>
    </w:p>
  </w:footnote>
  <w:footnote w:id="19">
    <w:p w:rsidR="001771F9" w:rsidRPr="00E631B0" w:rsidRDefault="001771F9" w:rsidP="00566B4F">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w:t>
      </w:r>
      <w:r w:rsidRPr="00566B4F">
        <w:rPr>
          <w:rFonts w:ascii="Arial" w:hAnsi="Arial" w:cs="Arial"/>
          <w:bCs/>
          <w:sz w:val="20"/>
          <w:szCs w:val="20"/>
        </w:rPr>
        <w:t xml:space="preserve">Véase </w:t>
      </w:r>
      <w:r w:rsidRPr="00566B4F">
        <w:rPr>
          <w:rFonts w:ascii="Arial" w:hAnsi="Arial" w:cs="Arial"/>
          <w:bCs/>
          <w:i/>
          <w:iCs/>
          <w:sz w:val="20"/>
          <w:szCs w:val="20"/>
        </w:rPr>
        <w:t>supra</w:t>
      </w:r>
      <w:r w:rsidRPr="00566B4F">
        <w:rPr>
          <w:rFonts w:ascii="Arial" w:hAnsi="Arial" w:cs="Arial"/>
          <w:bCs/>
          <w:sz w:val="20"/>
          <w:szCs w:val="20"/>
        </w:rPr>
        <w:t xml:space="preserve"> nota 15.</w:t>
      </w:r>
    </w:p>
  </w:footnote>
  <w:footnote w:id="20">
    <w:p w:rsidR="001771F9" w:rsidRPr="00E631B0" w:rsidRDefault="001771F9" w:rsidP="000F699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w:t>
      </w:r>
      <w:r w:rsidRPr="00E631B0">
        <w:rPr>
          <w:rFonts w:ascii="Arial" w:hAnsi="Arial" w:cs="Arial"/>
          <w:b/>
          <w:sz w:val="20"/>
          <w:szCs w:val="20"/>
        </w:rPr>
        <w:t>Artículo 11.</w:t>
      </w:r>
      <w:r w:rsidRPr="00E631B0">
        <w:rPr>
          <w:rFonts w:ascii="Arial" w:hAnsi="Arial" w:cs="Arial"/>
          <w:sz w:val="20"/>
          <w:szCs w:val="20"/>
        </w:rPr>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p w:rsidR="001771F9" w:rsidRPr="00E631B0" w:rsidRDefault="001771F9" w:rsidP="000F6990">
      <w:pPr>
        <w:pStyle w:val="Sinespaciado"/>
        <w:jc w:val="both"/>
        <w:rPr>
          <w:rFonts w:ascii="Arial" w:hAnsi="Arial" w:cs="Arial"/>
          <w:sz w:val="20"/>
          <w:szCs w:val="20"/>
        </w:rPr>
      </w:pPr>
      <w:r w:rsidRPr="00E631B0">
        <w:rPr>
          <w:rFonts w:ascii="Arial" w:hAnsi="Arial" w:cs="Arial"/>
          <w:sz w:val="20"/>
          <w:szCs w:val="20"/>
        </w:rPr>
        <w:t>[…].</w:t>
      </w:r>
    </w:p>
    <w:p w:rsidR="001771F9" w:rsidRPr="00E631B0" w:rsidRDefault="001771F9" w:rsidP="000F6990">
      <w:pPr>
        <w:pStyle w:val="Sinespaciado"/>
        <w:jc w:val="both"/>
        <w:rPr>
          <w:rFonts w:ascii="Arial" w:hAnsi="Arial" w:cs="Arial"/>
          <w:sz w:val="20"/>
          <w:szCs w:val="20"/>
        </w:rPr>
      </w:pPr>
      <w:r w:rsidRPr="00E631B0">
        <w:rPr>
          <w:rFonts w:ascii="Arial" w:hAnsi="Arial" w:cs="Arial"/>
          <w:b/>
          <w:sz w:val="20"/>
          <w:szCs w:val="20"/>
        </w:rPr>
        <w:t>Artículo 59.</w:t>
      </w:r>
      <w:r w:rsidRPr="00E631B0">
        <w:rPr>
          <w:rFonts w:ascii="Arial" w:hAnsi="Arial" w:cs="Arial"/>
          <w:sz w:val="20"/>
          <w:szCs w:val="20"/>
        </w:rPr>
        <w:t xml:space="preserve"> En las acciones de inconstitucionalidad se aplicarán en todo aquello que no se encuentre previsto en este Título, en lo conducente, las disposiciones contenidas en el Título II.</w:t>
      </w:r>
    </w:p>
  </w:footnote>
  <w:footnote w:id="21">
    <w:p w:rsidR="001771F9" w:rsidRPr="00E631B0" w:rsidRDefault="001771F9" w:rsidP="000F6990">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w:t>
      </w:r>
      <w:r w:rsidRPr="00E631B0">
        <w:rPr>
          <w:rFonts w:ascii="Arial" w:hAnsi="Arial" w:cs="Arial"/>
          <w:b/>
          <w:sz w:val="20"/>
          <w:szCs w:val="20"/>
        </w:rPr>
        <w:t xml:space="preserve">Artículo 15. </w:t>
      </w:r>
      <w:r w:rsidRPr="00E631B0">
        <w:rPr>
          <w:rFonts w:ascii="Arial" w:hAnsi="Arial" w:cs="Arial"/>
          <w:sz w:val="20"/>
          <w:szCs w:val="20"/>
        </w:rPr>
        <w:t>El Presidente de la Comisión Nacional tendrá las siguientes facultades y obligaciones:</w:t>
      </w:r>
    </w:p>
    <w:p w:rsidR="001771F9" w:rsidRPr="00390DB5" w:rsidRDefault="001771F9" w:rsidP="000F6990">
      <w:pPr>
        <w:pStyle w:val="Sinespaciado"/>
        <w:jc w:val="both"/>
        <w:rPr>
          <w:rFonts w:ascii="Arial" w:hAnsi="Arial" w:cs="Arial"/>
          <w:sz w:val="20"/>
          <w:szCs w:val="20"/>
        </w:rPr>
      </w:pPr>
      <w:r w:rsidRPr="00390DB5">
        <w:rPr>
          <w:rFonts w:ascii="Arial" w:hAnsi="Arial" w:cs="Arial"/>
          <w:sz w:val="20"/>
          <w:szCs w:val="20"/>
        </w:rPr>
        <w:t>I. Ejercer la representación legal de la Comisión Nacional;</w:t>
      </w:r>
    </w:p>
    <w:p w:rsidR="001771F9" w:rsidRPr="00390DB5" w:rsidRDefault="001771F9" w:rsidP="000F6990">
      <w:pPr>
        <w:pStyle w:val="Sinespaciado"/>
        <w:jc w:val="both"/>
        <w:rPr>
          <w:rFonts w:ascii="Arial" w:hAnsi="Arial" w:cs="Arial"/>
          <w:sz w:val="20"/>
          <w:szCs w:val="20"/>
        </w:rPr>
      </w:pPr>
      <w:r w:rsidRPr="00390DB5">
        <w:rPr>
          <w:rFonts w:ascii="Arial" w:hAnsi="Arial" w:cs="Arial"/>
          <w:sz w:val="20"/>
          <w:szCs w:val="20"/>
        </w:rPr>
        <w:t>[…]</w:t>
      </w:r>
    </w:p>
    <w:p w:rsidR="001771F9" w:rsidRPr="00E631B0" w:rsidRDefault="001771F9" w:rsidP="000F6990">
      <w:pPr>
        <w:pStyle w:val="Sinespaciado"/>
        <w:jc w:val="both"/>
        <w:rPr>
          <w:rFonts w:ascii="Arial" w:hAnsi="Arial" w:cs="Arial"/>
          <w:sz w:val="20"/>
          <w:szCs w:val="20"/>
        </w:rPr>
      </w:pPr>
      <w:r w:rsidRPr="00390DB5">
        <w:rPr>
          <w:rFonts w:ascii="Arial" w:hAnsi="Arial" w:cs="Arial"/>
          <w:sz w:val="20"/>
          <w:szCs w:val="20"/>
        </w:rPr>
        <w:t xml:space="preserve">XI. Promover las acciones de inconstitucionalidad, en contra de leyes de carácter federal, estatal y </w:t>
      </w:r>
      <w:r w:rsidRPr="00E631B0">
        <w:rPr>
          <w:rFonts w:ascii="Arial" w:hAnsi="Arial" w:cs="Arial"/>
          <w:sz w:val="20"/>
          <w:szCs w:val="20"/>
        </w:rPr>
        <w:t>del Distrito Federal, así como de tratados internacionales celebrados por el Ejecutivo Federal y aprobados por el Senado de la República, que vulneren los derechos humanos reconocidos en la Constitución y en los tratados internacionales de los que México sea parte.</w:t>
      </w:r>
    </w:p>
  </w:footnote>
  <w:footnote w:id="22">
    <w:p w:rsidR="001771F9" w:rsidRPr="00E631B0" w:rsidRDefault="001771F9" w:rsidP="000F6990">
      <w:pPr>
        <w:pStyle w:val="Textonotapie"/>
        <w:jc w:val="both"/>
        <w:rPr>
          <w:rFonts w:ascii="Arial" w:hAnsi="Arial" w:cs="Arial"/>
          <w:highlight w:val="cyan"/>
        </w:rPr>
      </w:pPr>
      <w:r w:rsidRPr="00E631B0">
        <w:rPr>
          <w:rStyle w:val="Refdenotaalpie"/>
          <w:rFonts w:ascii="Arial" w:hAnsi="Arial" w:cs="Arial"/>
        </w:rPr>
        <w:footnoteRef/>
      </w:r>
      <w:r w:rsidRPr="00E631B0">
        <w:rPr>
          <w:rFonts w:ascii="Arial" w:hAnsi="Arial" w:cs="Arial"/>
        </w:rPr>
        <w:t xml:space="preserve"> Véase el expediente de la acción de inco</w:t>
      </w:r>
      <w:r>
        <w:rPr>
          <w:rFonts w:ascii="Arial" w:hAnsi="Arial" w:cs="Arial"/>
        </w:rPr>
        <w:t>nstitucionalidad 201/2020, foja 34.</w:t>
      </w:r>
    </w:p>
  </w:footnote>
  <w:footnote w:id="23">
    <w:p w:rsidR="001771F9" w:rsidRPr="00E631B0" w:rsidRDefault="001771F9" w:rsidP="004D3CCA">
      <w:pPr>
        <w:pStyle w:val="Textonotapie"/>
        <w:jc w:val="both"/>
        <w:rPr>
          <w:rFonts w:ascii="Arial" w:hAnsi="Arial" w:cs="Arial"/>
          <w:highlight w:val="cyan"/>
        </w:rPr>
      </w:pPr>
      <w:r w:rsidRPr="00E631B0">
        <w:rPr>
          <w:rStyle w:val="Refdenotaalpie"/>
          <w:rFonts w:ascii="Arial" w:hAnsi="Arial" w:cs="Arial"/>
        </w:rPr>
        <w:footnoteRef/>
      </w:r>
      <w:r w:rsidRPr="00E631B0">
        <w:rPr>
          <w:rFonts w:ascii="Arial" w:hAnsi="Arial" w:cs="Arial"/>
        </w:rPr>
        <w:t xml:space="preserve"> Véase </w:t>
      </w:r>
      <w:r w:rsidRPr="003A06E6">
        <w:rPr>
          <w:rFonts w:ascii="Arial" w:hAnsi="Arial" w:cs="Arial"/>
          <w:i/>
        </w:rPr>
        <w:t>ibíd.</w:t>
      </w:r>
      <w:r>
        <w:rPr>
          <w:rFonts w:ascii="Arial" w:hAnsi="Arial" w:cs="Arial"/>
        </w:rPr>
        <w:t>, fojas 138 a 139.</w:t>
      </w:r>
    </w:p>
  </w:footnote>
  <w:footnote w:id="24">
    <w:p w:rsidR="001771F9" w:rsidRDefault="001771F9" w:rsidP="006A108E">
      <w:pPr>
        <w:pStyle w:val="Estilo"/>
        <w:rPr>
          <w:rFonts w:cs="Arial"/>
          <w:sz w:val="20"/>
          <w:szCs w:val="20"/>
        </w:rPr>
      </w:pPr>
      <w:r w:rsidRPr="00E631B0">
        <w:rPr>
          <w:rStyle w:val="Refdenotaalpie"/>
          <w:rFonts w:cs="Arial"/>
          <w:sz w:val="20"/>
          <w:szCs w:val="20"/>
        </w:rPr>
        <w:footnoteRef/>
      </w:r>
      <w:r w:rsidRPr="00E631B0">
        <w:rPr>
          <w:rFonts w:cs="Arial"/>
          <w:sz w:val="20"/>
          <w:szCs w:val="20"/>
        </w:rPr>
        <w:t xml:space="preserve"> </w:t>
      </w:r>
      <w:r w:rsidRPr="00E631B0">
        <w:rPr>
          <w:rFonts w:cs="Arial"/>
          <w:b/>
          <w:bCs/>
          <w:sz w:val="20"/>
          <w:szCs w:val="20"/>
        </w:rPr>
        <w:t>Artículo 9º.</w:t>
      </w:r>
      <w:r w:rsidRPr="00E631B0">
        <w:rPr>
          <w:rFonts w:cs="Arial"/>
          <w:sz w:val="20"/>
          <w:szCs w:val="20"/>
        </w:rPr>
        <w:t xml:space="preserve"> Los pueblos indígenas y las personas que los componen, tienen derecho al acceso pleno a</w:t>
      </w:r>
      <w:r>
        <w:rPr>
          <w:rFonts w:cs="Arial"/>
          <w:sz w:val="20"/>
          <w:szCs w:val="20"/>
        </w:rPr>
        <w:t xml:space="preserve"> la Jurisdicción del Estado. </w:t>
      </w:r>
    </w:p>
    <w:p w:rsidR="001771F9" w:rsidRPr="00E631B0" w:rsidRDefault="001771F9" w:rsidP="006A108E">
      <w:pPr>
        <w:pStyle w:val="Estilo"/>
        <w:rPr>
          <w:rFonts w:cs="Arial"/>
          <w:sz w:val="20"/>
          <w:szCs w:val="20"/>
        </w:rPr>
      </w:pPr>
      <w:r>
        <w:rPr>
          <w:rFonts w:cs="Arial"/>
          <w:sz w:val="20"/>
          <w:szCs w:val="20"/>
        </w:rPr>
        <w:t>[…]</w:t>
      </w:r>
    </w:p>
    <w:p w:rsidR="001771F9" w:rsidRPr="00AB1B91" w:rsidRDefault="001771F9" w:rsidP="006A108E">
      <w:pPr>
        <w:pStyle w:val="Estilo"/>
        <w:rPr>
          <w:rFonts w:cs="Arial"/>
          <w:b/>
          <w:sz w:val="20"/>
          <w:szCs w:val="20"/>
          <w:u w:val="single"/>
        </w:rPr>
      </w:pPr>
      <w:r w:rsidRPr="00207486">
        <w:rPr>
          <w:rFonts w:cs="Arial"/>
          <w:sz w:val="20"/>
          <w:szCs w:val="20"/>
        </w:rPr>
        <w:t>Así mismo</w:t>
      </w:r>
      <w:r>
        <w:rPr>
          <w:rFonts w:cs="Arial"/>
          <w:sz w:val="20"/>
          <w:szCs w:val="20"/>
        </w:rPr>
        <w:t xml:space="preserve"> (sic)</w:t>
      </w:r>
      <w:r w:rsidRPr="00207486">
        <w:rPr>
          <w:rFonts w:cs="Arial"/>
          <w:sz w:val="20"/>
          <w:szCs w:val="20"/>
        </w:rPr>
        <w:t xml:space="preserve">, el Estado debe asistirlos, en todo tiempo, con </w:t>
      </w:r>
      <w:r w:rsidRPr="00E631B0">
        <w:rPr>
          <w:rFonts w:cs="Arial"/>
          <w:sz w:val="20"/>
          <w:szCs w:val="20"/>
          <w:u w:val="single"/>
        </w:rPr>
        <w:t>personas traductoras</w:t>
      </w:r>
      <w:r w:rsidRPr="00207486">
        <w:rPr>
          <w:rFonts w:cs="Arial"/>
          <w:sz w:val="20"/>
          <w:szCs w:val="20"/>
        </w:rPr>
        <w:t xml:space="preserve">, intérpretes y </w:t>
      </w:r>
      <w:r w:rsidRPr="00207486">
        <w:rPr>
          <w:rFonts w:cs="Arial"/>
          <w:sz w:val="20"/>
          <w:szCs w:val="20"/>
          <w:u w:val="single"/>
        </w:rPr>
        <w:t>defensoras</w:t>
      </w:r>
      <w:r w:rsidRPr="00207486">
        <w:rPr>
          <w:rFonts w:cs="Arial"/>
          <w:sz w:val="20"/>
          <w:szCs w:val="20"/>
        </w:rPr>
        <w:t xml:space="preserve"> con dominio de su lengua, conocimiento de su cultura y del Derecho Indígena,</w:t>
      </w:r>
      <w:r w:rsidRPr="00E631B0">
        <w:rPr>
          <w:rFonts w:cs="Arial"/>
          <w:sz w:val="20"/>
          <w:szCs w:val="20"/>
          <w:u w:val="single"/>
        </w:rPr>
        <w:t xml:space="preserve"> estableciendo para ello las instancias especializadas correspondientes</w:t>
      </w:r>
      <w:r w:rsidRPr="00207486">
        <w:rPr>
          <w:rFonts w:cs="Arial"/>
          <w:sz w:val="20"/>
          <w:szCs w:val="20"/>
        </w:rPr>
        <w:t>.</w:t>
      </w:r>
      <w:r w:rsidRPr="00AB1B91">
        <w:rPr>
          <w:rFonts w:cs="Arial"/>
          <w:b/>
          <w:sz w:val="20"/>
          <w:szCs w:val="20"/>
        </w:rPr>
        <w:t xml:space="preserve"> </w:t>
      </w:r>
      <w:r w:rsidRPr="00AB1B91">
        <w:rPr>
          <w:rFonts w:cs="Arial"/>
          <w:sz w:val="20"/>
          <w:szCs w:val="20"/>
        </w:rPr>
        <w:t>(Énfasis añadido)</w:t>
      </w:r>
      <w:r>
        <w:rPr>
          <w:rFonts w:cs="Arial"/>
          <w:sz w:val="20"/>
          <w:szCs w:val="20"/>
        </w:rPr>
        <w:t>.</w:t>
      </w:r>
    </w:p>
  </w:footnote>
  <w:footnote w:id="25">
    <w:p w:rsidR="001771F9" w:rsidRPr="006A108E" w:rsidRDefault="001771F9">
      <w:pPr>
        <w:pStyle w:val="Textonotapie"/>
        <w:rPr>
          <w:rFonts w:ascii="Arial" w:hAnsi="Arial" w:cs="Arial"/>
        </w:rPr>
      </w:pPr>
      <w:r w:rsidRPr="006A108E">
        <w:rPr>
          <w:rStyle w:val="Refdenotaalpie"/>
          <w:rFonts w:ascii="Arial" w:hAnsi="Arial" w:cs="Arial"/>
        </w:rPr>
        <w:footnoteRef/>
      </w:r>
      <w:r w:rsidRPr="006A108E">
        <w:rPr>
          <w:rFonts w:ascii="Arial" w:hAnsi="Arial" w:cs="Arial"/>
        </w:rPr>
        <w:t xml:space="preserve"> </w:t>
      </w:r>
      <w:r w:rsidRPr="006A108E">
        <w:rPr>
          <w:rFonts w:ascii="Arial" w:hAnsi="Arial" w:cs="Arial"/>
          <w:i/>
        </w:rPr>
        <w:t>Ídem</w:t>
      </w:r>
      <w:r w:rsidRPr="006A108E">
        <w:rPr>
          <w:rFonts w:ascii="Arial" w:hAnsi="Arial" w:cs="Arial"/>
        </w:rPr>
        <w:t>.</w:t>
      </w:r>
    </w:p>
  </w:footnote>
  <w:footnote w:id="26">
    <w:p w:rsidR="001771F9" w:rsidRPr="00E631B0" w:rsidRDefault="001771F9" w:rsidP="004D3CCA">
      <w:pPr>
        <w:pStyle w:val="Textonotapie"/>
        <w:jc w:val="both"/>
        <w:rPr>
          <w:rFonts w:ascii="Arial" w:hAnsi="Arial" w:cs="Arial"/>
          <w:highlight w:val="cyan"/>
        </w:rPr>
      </w:pPr>
      <w:r w:rsidRPr="00E631B0">
        <w:rPr>
          <w:rStyle w:val="Refdenotaalpie"/>
          <w:rFonts w:ascii="Arial" w:hAnsi="Arial" w:cs="Arial"/>
        </w:rPr>
        <w:footnoteRef/>
      </w:r>
      <w:r w:rsidRPr="00E631B0">
        <w:rPr>
          <w:rFonts w:ascii="Arial" w:hAnsi="Arial" w:cs="Arial"/>
        </w:rPr>
        <w:t xml:space="preserve"> Véase el expediente de la acción de inco</w:t>
      </w:r>
      <w:r>
        <w:rPr>
          <w:rFonts w:ascii="Arial" w:hAnsi="Arial" w:cs="Arial"/>
        </w:rPr>
        <w:t>nstitucionalidad 201/2020, fojas140 a 144.</w:t>
      </w:r>
    </w:p>
  </w:footnote>
  <w:footnote w:id="27">
    <w:p w:rsidR="001771F9" w:rsidRDefault="001771F9" w:rsidP="00BF1CDA">
      <w:pPr>
        <w:pStyle w:val="Estilo"/>
        <w:rPr>
          <w:rFonts w:cs="Arial"/>
          <w:sz w:val="20"/>
          <w:szCs w:val="20"/>
        </w:rPr>
      </w:pPr>
      <w:r w:rsidRPr="00E631B0">
        <w:rPr>
          <w:rStyle w:val="Refdenotaalpie"/>
          <w:rFonts w:cs="Arial"/>
          <w:sz w:val="20"/>
          <w:szCs w:val="20"/>
        </w:rPr>
        <w:footnoteRef/>
      </w:r>
      <w:r w:rsidRPr="00E631B0">
        <w:rPr>
          <w:rFonts w:cs="Arial"/>
          <w:sz w:val="20"/>
          <w:szCs w:val="20"/>
        </w:rPr>
        <w:t xml:space="preserve"> </w:t>
      </w:r>
      <w:r w:rsidRPr="00E631B0">
        <w:rPr>
          <w:rFonts w:cs="Arial"/>
          <w:b/>
          <w:bCs/>
          <w:sz w:val="20"/>
          <w:szCs w:val="20"/>
        </w:rPr>
        <w:t>Artículo 35</w:t>
      </w:r>
      <w:r>
        <w:rPr>
          <w:rFonts w:cs="Arial"/>
          <w:b/>
          <w:bCs/>
          <w:sz w:val="20"/>
          <w:szCs w:val="20"/>
        </w:rPr>
        <w:t>.</w:t>
      </w:r>
      <w:r>
        <w:rPr>
          <w:rFonts w:cs="Arial"/>
          <w:sz w:val="20"/>
          <w:szCs w:val="20"/>
        </w:rPr>
        <w:t xml:space="preserve"> […]. </w:t>
      </w:r>
      <w:r w:rsidRPr="00BF1CDA">
        <w:rPr>
          <w:rFonts w:cs="Arial"/>
          <w:sz w:val="20"/>
          <w:szCs w:val="20"/>
        </w:rPr>
        <w:t>La Fiscalía se organizará en un sistema de regionalización y esp</w:t>
      </w:r>
      <w:r>
        <w:rPr>
          <w:rFonts w:cs="Arial"/>
          <w:sz w:val="20"/>
          <w:szCs w:val="20"/>
        </w:rPr>
        <w:t xml:space="preserve">ecialización de acuerdo con las </w:t>
      </w:r>
      <w:r w:rsidRPr="00BF1CDA">
        <w:rPr>
          <w:rFonts w:cs="Arial"/>
          <w:sz w:val="20"/>
          <w:szCs w:val="20"/>
        </w:rPr>
        <w:t>siguientes atribuciones:</w:t>
      </w:r>
    </w:p>
    <w:p w:rsidR="001771F9" w:rsidRPr="00E631B0" w:rsidRDefault="001771F9" w:rsidP="00BF1CDA">
      <w:pPr>
        <w:pStyle w:val="Estilo"/>
        <w:rPr>
          <w:rFonts w:cs="Arial"/>
          <w:sz w:val="20"/>
          <w:szCs w:val="20"/>
        </w:rPr>
      </w:pPr>
      <w:r>
        <w:rPr>
          <w:rFonts w:cs="Arial"/>
          <w:sz w:val="20"/>
          <w:szCs w:val="20"/>
        </w:rPr>
        <w:t>[…]</w:t>
      </w:r>
    </w:p>
    <w:p w:rsidR="001771F9" w:rsidRPr="00BF1CDA" w:rsidRDefault="001771F9" w:rsidP="0081767A">
      <w:pPr>
        <w:pStyle w:val="Estilo"/>
        <w:rPr>
          <w:rFonts w:cs="Arial"/>
          <w:sz w:val="20"/>
          <w:szCs w:val="20"/>
          <w:u w:val="single"/>
        </w:rPr>
      </w:pPr>
      <w:r w:rsidRPr="00BF1CDA">
        <w:rPr>
          <w:rFonts w:cs="Arial"/>
          <w:sz w:val="20"/>
          <w:szCs w:val="20"/>
          <w:u w:val="single"/>
        </w:rPr>
        <w:t>Para dar cumplimiento al derecho de acceso a la justicia a personas, pueblos y comunidades indígenas, la Fiscalía General del Estado, en el ejercicio de las atribuciones antes señaladas, garantizará que aquellas cuenten con la asistencia de personas traductoras e intérpretes, debidamente certificadas, en toda actuación que les involucre, estableciendo para ello las previsiones necesarias y, de resultar indispensable, la celebración de convenios de colaboración o coordinación con las instituciones competentes</w:t>
      </w:r>
      <w:r w:rsidRPr="00BF1CDA">
        <w:rPr>
          <w:rFonts w:cs="Arial"/>
          <w:sz w:val="20"/>
          <w:szCs w:val="20"/>
        </w:rPr>
        <w:t>.</w:t>
      </w:r>
      <w:r>
        <w:rPr>
          <w:rFonts w:cs="Arial"/>
          <w:sz w:val="20"/>
          <w:szCs w:val="20"/>
        </w:rPr>
        <w:t xml:space="preserve"> (Énfasis añadido).</w:t>
      </w:r>
    </w:p>
    <w:p w:rsidR="001771F9" w:rsidRDefault="001771F9" w:rsidP="0081767A">
      <w:pPr>
        <w:pStyle w:val="Estilo"/>
        <w:rPr>
          <w:rFonts w:cs="Arial"/>
          <w:sz w:val="20"/>
          <w:szCs w:val="20"/>
        </w:rPr>
      </w:pPr>
      <w:r>
        <w:rPr>
          <w:rFonts w:cs="Arial"/>
          <w:b/>
          <w:bCs/>
          <w:sz w:val="20"/>
          <w:szCs w:val="20"/>
        </w:rPr>
        <w:t>Artículo 35 Quá</w:t>
      </w:r>
      <w:r w:rsidRPr="00E631B0">
        <w:rPr>
          <w:rFonts w:cs="Arial"/>
          <w:b/>
          <w:bCs/>
          <w:sz w:val="20"/>
          <w:szCs w:val="20"/>
        </w:rPr>
        <w:t>ter.</w:t>
      </w:r>
      <w:r w:rsidRPr="00E631B0">
        <w:rPr>
          <w:rFonts w:cs="Arial"/>
          <w:sz w:val="20"/>
          <w:szCs w:val="20"/>
        </w:rPr>
        <w:t xml:space="preserve"> A la Comisión Estatal para los Pueblos Indígenas corresponde el despa</w:t>
      </w:r>
      <w:r>
        <w:rPr>
          <w:rFonts w:cs="Arial"/>
          <w:sz w:val="20"/>
          <w:szCs w:val="20"/>
        </w:rPr>
        <w:t xml:space="preserve">cho de los siguientes asuntos: </w:t>
      </w:r>
    </w:p>
    <w:p w:rsidR="001771F9" w:rsidRPr="00E631B0" w:rsidRDefault="001771F9" w:rsidP="0081767A">
      <w:pPr>
        <w:pStyle w:val="Estilo"/>
        <w:rPr>
          <w:rFonts w:cs="Arial"/>
          <w:sz w:val="20"/>
          <w:szCs w:val="20"/>
        </w:rPr>
      </w:pPr>
      <w:r>
        <w:rPr>
          <w:rFonts w:cs="Arial"/>
          <w:sz w:val="20"/>
          <w:szCs w:val="20"/>
        </w:rPr>
        <w:t>[…]</w:t>
      </w:r>
      <w:r w:rsidRPr="00E631B0">
        <w:rPr>
          <w:rFonts w:cs="Arial"/>
          <w:sz w:val="20"/>
          <w:szCs w:val="20"/>
        </w:rPr>
        <w:t xml:space="preserve"> </w:t>
      </w:r>
    </w:p>
    <w:p w:rsidR="001771F9" w:rsidRDefault="001771F9" w:rsidP="0081767A">
      <w:pPr>
        <w:pStyle w:val="Estilo"/>
        <w:rPr>
          <w:rFonts w:cs="Arial"/>
          <w:sz w:val="20"/>
          <w:szCs w:val="20"/>
        </w:rPr>
      </w:pPr>
      <w:r w:rsidRPr="00E631B0">
        <w:rPr>
          <w:rFonts w:cs="Arial"/>
          <w:sz w:val="20"/>
          <w:szCs w:val="20"/>
        </w:rPr>
        <w:t xml:space="preserve">XI. Celebrar convenios </w:t>
      </w:r>
      <w:r w:rsidRPr="00B63CAF">
        <w:rPr>
          <w:rFonts w:cs="Arial"/>
          <w:sz w:val="20"/>
          <w:szCs w:val="20"/>
        </w:rPr>
        <w:t xml:space="preserve">tanto con el Poder Judicial del Estado, como con el de la Federación y sus respectivos Consejos de la Judicatura, para coadyuvar en los procesos de capacitación en materia de derechos y cultura de los pueblos y comunidades indígenas, a quienes formen parte de la Defensoría Pública, </w:t>
      </w:r>
      <w:r w:rsidRPr="00375D80">
        <w:rPr>
          <w:rFonts w:cs="Arial"/>
          <w:sz w:val="20"/>
          <w:szCs w:val="20"/>
          <w:u w:val="single"/>
        </w:rPr>
        <w:t>así como a las personas traductoras e intérpretes, según corresponda, que integren la instancia especializada correspondiente</w:t>
      </w:r>
      <w:r>
        <w:rPr>
          <w:rFonts w:cs="Arial"/>
          <w:sz w:val="20"/>
          <w:szCs w:val="20"/>
        </w:rPr>
        <w:t xml:space="preserve">. </w:t>
      </w:r>
    </w:p>
    <w:p w:rsidR="001771F9" w:rsidRPr="00E631B0" w:rsidRDefault="001771F9" w:rsidP="0081767A">
      <w:pPr>
        <w:pStyle w:val="Estilo"/>
        <w:rPr>
          <w:rFonts w:cs="Arial"/>
          <w:sz w:val="20"/>
          <w:szCs w:val="20"/>
        </w:rPr>
      </w:pPr>
      <w:r>
        <w:rPr>
          <w:rFonts w:cs="Arial"/>
          <w:sz w:val="20"/>
          <w:szCs w:val="20"/>
        </w:rPr>
        <w:t>[…] (Énfasis añadido).</w:t>
      </w:r>
    </w:p>
  </w:footnote>
  <w:footnote w:id="28">
    <w:p w:rsidR="001771F9" w:rsidRPr="004E69E7" w:rsidRDefault="001771F9" w:rsidP="004E69E7">
      <w:pPr>
        <w:pStyle w:val="Textonotapie"/>
        <w:jc w:val="both"/>
        <w:rPr>
          <w:rFonts w:ascii="Arial" w:hAnsi="Arial" w:cs="Arial"/>
        </w:rPr>
      </w:pPr>
      <w:r w:rsidRPr="004E69E7">
        <w:rPr>
          <w:rStyle w:val="Refdenotaalpie"/>
          <w:rFonts w:ascii="Arial" w:hAnsi="Arial" w:cs="Arial"/>
        </w:rPr>
        <w:footnoteRef/>
      </w:r>
      <w:r w:rsidRPr="004E69E7">
        <w:rPr>
          <w:rFonts w:ascii="Arial" w:hAnsi="Arial" w:cs="Arial"/>
        </w:rPr>
        <w:t xml:space="preserve"> </w:t>
      </w:r>
      <w:r>
        <w:rPr>
          <w:rFonts w:ascii="Arial" w:hAnsi="Arial" w:cs="Arial"/>
        </w:rPr>
        <w:t>E</w:t>
      </w:r>
      <w:r w:rsidRPr="004E69E7">
        <w:rPr>
          <w:rFonts w:ascii="Arial" w:hAnsi="Arial" w:cs="Arial"/>
        </w:rPr>
        <w:t>s un hecho notorio que se invoca como tal en términos del artículo 88 del Código Federal de Procedimientos Civiles, en relación con el artículo 1° de la Ley Reglamentaria, que</w:t>
      </w:r>
      <w:r>
        <w:rPr>
          <w:rFonts w:ascii="Arial" w:hAnsi="Arial" w:cs="Arial"/>
        </w:rPr>
        <w:t xml:space="preserve"> el veintiocho de diciembre de dos mil diecinueve se expidió una nueva Ley Orgánica del Poder Judicial del Estado de Chihuahua. Véase el Decreto N° </w:t>
      </w:r>
      <w:r w:rsidRPr="004E69E7">
        <w:rPr>
          <w:rFonts w:ascii="Arial" w:hAnsi="Arial" w:cs="Arial"/>
        </w:rPr>
        <w:t>LXVI/EXLEY/0621/2019</w:t>
      </w:r>
      <w:r>
        <w:rPr>
          <w:rFonts w:ascii="Arial" w:hAnsi="Arial" w:cs="Arial"/>
        </w:rPr>
        <w:t xml:space="preserve"> </w:t>
      </w:r>
      <w:r w:rsidRPr="004E69E7">
        <w:rPr>
          <w:rFonts w:ascii="Arial" w:hAnsi="Arial" w:cs="Arial"/>
        </w:rPr>
        <w:t>I P.O.</w:t>
      </w:r>
      <w:r>
        <w:rPr>
          <w:rFonts w:ascii="Arial" w:hAnsi="Arial" w:cs="Arial"/>
        </w:rPr>
        <w:t xml:space="preserve">, disponible en la dirección web: </w:t>
      </w:r>
      <w:hyperlink r:id="rId1" w:history="1">
        <w:r w:rsidRPr="008021D6">
          <w:rPr>
            <w:rStyle w:val="Hipervnculo"/>
            <w:rFonts w:ascii="Arial" w:hAnsi="Arial" w:cs="Arial"/>
          </w:rPr>
          <w:t>http://chihuahua.gob.mx/atach2/anexo/anexo_104-2019_ley_organica_del_poder_judicial.pdf</w:t>
        </w:r>
      </w:hyperlink>
      <w:r>
        <w:rPr>
          <w:rFonts w:ascii="Arial" w:hAnsi="Arial" w:cs="Arial"/>
        </w:rPr>
        <w:t xml:space="preserve">. </w:t>
      </w:r>
    </w:p>
  </w:footnote>
  <w:footnote w:id="29">
    <w:p w:rsidR="001771F9" w:rsidRPr="00517A45" w:rsidRDefault="001771F9" w:rsidP="004D5B16">
      <w:pPr>
        <w:pStyle w:val="Estilo"/>
        <w:rPr>
          <w:rFonts w:cs="Arial"/>
          <w:sz w:val="20"/>
          <w:szCs w:val="20"/>
        </w:rPr>
      </w:pPr>
      <w:r w:rsidRPr="00E631B0">
        <w:rPr>
          <w:rStyle w:val="Refdenotaalpie"/>
          <w:rFonts w:cs="Arial"/>
          <w:sz w:val="20"/>
          <w:szCs w:val="20"/>
        </w:rPr>
        <w:footnoteRef/>
      </w:r>
      <w:r w:rsidRPr="00517A45">
        <w:rPr>
          <w:rFonts w:cs="Arial"/>
          <w:sz w:val="20"/>
          <w:szCs w:val="20"/>
        </w:rPr>
        <w:t xml:space="preserve"> </w:t>
      </w:r>
      <w:r w:rsidRPr="00517A45">
        <w:rPr>
          <w:rFonts w:cs="Arial"/>
          <w:b/>
          <w:bCs/>
          <w:sz w:val="20"/>
          <w:szCs w:val="20"/>
        </w:rPr>
        <w:t>Artículo 151 Bis</w:t>
      </w:r>
      <w:r>
        <w:rPr>
          <w:rFonts w:cs="Arial"/>
          <w:b/>
          <w:bCs/>
          <w:sz w:val="20"/>
          <w:szCs w:val="20"/>
        </w:rPr>
        <w:t xml:space="preserve"> (abrogado el veintiocho de diciembre de dos mil diecinueve).</w:t>
      </w:r>
      <w:r w:rsidRPr="00517A45">
        <w:rPr>
          <w:rFonts w:cs="Arial"/>
          <w:sz w:val="20"/>
          <w:szCs w:val="20"/>
        </w:rPr>
        <w:t xml:space="preserve"> El Centro de Personas Traductoras e Intérpretes es un órgano auxiliar del Poder Judicial, con autonomía técnica y operativa para el cumplimiento de sus funciones y desarrollo de sus actividades sustantivas.</w:t>
      </w:r>
    </w:p>
    <w:p w:rsidR="001771F9" w:rsidRPr="00517A45" w:rsidRDefault="001771F9" w:rsidP="004D5B16">
      <w:pPr>
        <w:pStyle w:val="Estilo"/>
        <w:rPr>
          <w:rFonts w:cs="Arial"/>
          <w:sz w:val="20"/>
          <w:szCs w:val="20"/>
        </w:rPr>
      </w:pPr>
      <w:r w:rsidRPr="00517A45">
        <w:rPr>
          <w:rFonts w:cs="Arial"/>
          <w:sz w:val="20"/>
          <w:szCs w:val="20"/>
        </w:rPr>
        <w:t xml:space="preserve">Tiene como objeto proveer lo necesario en materia de traducción e interpretación, a fin de que las instituciones de procuración, impartición y administración de justicia puedan garantizar, en este sentido, el derecho de acceso a la justicia </w:t>
      </w:r>
      <w:r>
        <w:rPr>
          <w:rFonts w:cs="Arial"/>
          <w:sz w:val="20"/>
          <w:szCs w:val="20"/>
        </w:rPr>
        <w:t>a personas,</w:t>
      </w:r>
      <w:r w:rsidRPr="00517A45">
        <w:rPr>
          <w:rFonts w:cs="Arial"/>
          <w:sz w:val="20"/>
          <w:szCs w:val="20"/>
        </w:rPr>
        <w:t xml:space="preserve"> pueblos y comunidades indígenas.</w:t>
      </w:r>
    </w:p>
    <w:p w:rsidR="001771F9" w:rsidRPr="00517A45" w:rsidRDefault="001771F9" w:rsidP="004D5B16">
      <w:pPr>
        <w:pStyle w:val="Estilo"/>
        <w:rPr>
          <w:rFonts w:cs="Arial"/>
          <w:sz w:val="20"/>
          <w:szCs w:val="20"/>
        </w:rPr>
      </w:pPr>
      <w:r w:rsidRPr="00517A45">
        <w:rPr>
          <w:rFonts w:cs="Arial"/>
          <w:sz w:val="20"/>
          <w:szCs w:val="20"/>
        </w:rPr>
        <w:t>Así mismo, apoyará a los Poderes del Estado y demás autoridades de la Entidad Federativa, para que los actos que emitan en el ámbito de su competencia, con consecuencias jurídicas para p</w:t>
      </w:r>
      <w:r>
        <w:rPr>
          <w:rFonts w:cs="Arial"/>
          <w:sz w:val="20"/>
          <w:szCs w:val="20"/>
        </w:rPr>
        <w:t>ersonas,</w:t>
      </w:r>
      <w:r w:rsidRPr="00517A45">
        <w:rPr>
          <w:rFonts w:cs="Arial"/>
          <w:sz w:val="20"/>
          <w:szCs w:val="20"/>
        </w:rPr>
        <w:t xml:space="preserve"> pueblos y comunidades indígenas, se desarrollen con la asistencia de personas</w:t>
      </w:r>
      <w:r>
        <w:rPr>
          <w:rFonts w:cs="Arial"/>
          <w:sz w:val="20"/>
          <w:szCs w:val="20"/>
        </w:rPr>
        <w:t xml:space="preserve"> defensoras,</w:t>
      </w:r>
      <w:r w:rsidRPr="00517A45">
        <w:rPr>
          <w:rFonts w:cs="Arial"/>
          <w:sz w:val="20"/>
          <w:szCs w:val="20"/>
        </w:rPr>
        <w:t xml:space="preserve"> traductoras o intérpretes debidamente certificadas, según corresponda.</w:t>
      </w:r>
    </w:p>
    <w:p w:rsidR="001771F9" w:rsidRPr="00517A45" w:rsidRDefault="001771F9" w:rsidP="004D5B16">
      <w:pPr>
        <w:pStyle w:val="Estilo"/>
        <w:rPr>
          <w:rFonts w:cs="Arial"/>
          <w:sz w:val="20"/>
          <w:szCs w:val="20"/>
        </w:rPr>
      </w:pPr>
      <w:r w:rsidRPr="00517A45">
        <w:rPr>
          <w:rFonts w:cs="Arial"/>
          <w:b/>
          <w:bCs/>
          <w:sz w:val="20"/>
          <w:szCs w:val="20"/>
        </w:rPr>
        <w:t>Artículo 151 Ter</w:t>
      </w:r>
      <w:r>
        <w:rPr>
          <w:rFonts w:cs="Arial"/>
          <w:b/>
          <w:bCs/>
          <w:sz w:val="20"/>
          <w:szCs w:val="20"/>
        </w:rPr>
        <w:t xml:space="preserve"> (abrogado el veintiocho de diciembre de dos mil diecinueve).</w:t>
      </w:r>
      <w:r w:rsidRPr="00517A45">
        <w:rPr>
          <w:rFonts w:cs="Arial"/>
          <w:sz w:val="20"/>
          <w:szCs w:val="20"/>
        </w:rPr>
        <w:t xml:space="preserve"> El Centro de Personas Traductoras e Intérpretes dependerá del Consejo y para el adecuado cumplimiento de sus funciones se establecerán centros regionales en aquellos distritos judiciales que así lo requieran, previo cumplimiento del procedimiento establecido por la Ley para tal efecto.</w:t>
      </w:r>
    </w:p>
    <w:p w:rsidR="001771F9" w:rsidRPr="00E631B0" w:rsidRDefault="001771F9" w:rsidP="004D5B16">
      <w:pPr>
        <w:pStyle w:val="Estilo"/>
        <w:rPr>
          <w:rFonts w:cs="Arial"/>
          <w:sz w:val="20"/>
          <w:szCs w:val="20"/>
        </w:rPr>
      </w:pPr>
      <w:r w:rsidRPr="00517A45">
        <w:rPr>
          <w:rFonts w:cs="Arial"/>
          <w:b/>
          <w:bCs/>
          <w:sz w:val="20"/>
          <w:szCs w:val="20"/>
        </w:rPr>
        <w:t>Artículo 151 Quáter</w:t>
      </w:r>
      <w:r>
        <w:rPr>
          <w:rFonts w:cs="Arial"/>
          <w:b/>
          <w:bCs/>
          <w:sz w:val="20"/>
          <w:szCs w:val="20"/>
        </w:rPr>
        <w:t xml:space="preserve"> (abrogado el veintiocho de diciembre de dos mil diecinueve).</w:t>
      </w:r>
      <w:r w:rsidRPr="00517A45">
        <w:rPr>
          <w:rFonts w:cs="Arial"/>
          <w:sz w:val="20"/>
          <w:szCs w:val="20"/>
        </w:rPr>
        <w:t xml:space="preserve"> El Centro de Personas Traductoras e Intérpretes ejercerá sus atribuciones a través de la estructura orgánica que determine el Consejo y contará con el número de personas traductoras e intérpretes necesarias, de conformidad con los requerimientos de cada distrito judicial.</w:t>
      </w:r>
    </w:p>
  </w:footnote>
  <w:footnote w:id="30">
    <w:p w:rsidR="001771F9" w:rsidRPr="00E631B0" w:rsidRDefault="001771F9" w:rsidP="00B63CAF">
      <w:pPr>
        <w:pStyle w:val="Estilo"/>
        <w:rPr>
          <w:rFonts w:cs="Arial"/>
          <w:sz w:val="20"/>
          <w:szCs w:val="20"/>
        </w:rPr>
      </w:pPr>
      <w:r w:rsidRPr="00E631B0">
        <w:rPr>
          <w:rStyle w:val="Refdenotaalpie"/>
          <w:rFonts w:cs="Arial"/>
          <w:sz w:val="20"/>
          <w:szCs w:val="20"/>
        </w:rPr>
        <w:footnoteRef/>
      </w:r>
      <w:r w:rsidRPr="00E631B0">
        <w:rPr>
          <w:rFonts w:cs="Arial"/>
          <w:sz w:val="20"/>
          <w:szCs w:val="20"/>
        </w:rPr>
        <w:t xml:space="preserve"> </w:t>
      </w:r>
      <w:r w:rsidRPr="00E631B0">
        <w:rPr>
          <w:rFonts w:cs="Arial"/>
          <w:b/>
          <w:bCs/>
          <w:sz w:val="20"/>
          <w:szCs w:val="20"/>
        </w:rPr>
        <w:t>Artículo 11.</w:t>
      </w:r>
      <w:r w:rsidRPr="00E631B0">
        <w:rPr>
          <w:rFonts w:cs="Arial"/>
          <w:sz w:val="20"/>
          <w:szCs w:val="20"/>
        </w:rPr>
        <w:t xml:space="preserve"> Las autoridades judiciales y administrativas deberán tomar en cuenta los derechos y la cultura de los pueblos y las comunidades indígenas, en los procesos judiciales que involucren a las personas pertenecientes a estos.</w:t>
      </w:r>
    </w:p>
    <w:p w:rsidR="001771F9" w:rsidRPr="00E631B0" w:rsidRDefault="001771F9" w:rsidP="00B63CAF">
      <w:pPr>
        <w:pStyle w:val="Estilo"/>
        <w:rPr>
          <w:rFonts w:cs="Arial"/>
          <w:sz w:val="20"/>
          <w:szCs w:val="20"/>
        </w:rPr>
      </w:pPr>
      <w:r w:rsidRPr="00E631B0">
        <w:rPr>
          <w:rFonts w:cs="Arial"/>
          <w:sz w:val="20"/>
          <w:szCs w:val="20"/>
        </w:rPr>
        <w:t>En todos los juicios y procedimientos del orden jurisdiccional en los que sean parte los pueblos o las personas indígenas, el Estado deberá asistirlos, en todo tiempo, con personas traductoras, intérpretes y defensoras con dominio de su idioma, conocimiento de su cultura y sus sistemas normativos internos.</w:t>
      </w:r>
    </w:p>
    <w:p w:rsidR="001771F9" w:rsidRPr="00E631B0" w:rsidRDefault="001771F9" w:rsidP="00B63CAF">
      <w:pPr>
        <w:pStyle w:val="Estilo"/>
        <w:rPr>
          <w:rFonts w:cs="Arial"/>
          <w:sz w:val="20"/>
          <w:szCs w:val="20"/>
          <w:u w:val="single"/>
        </w:rPr>
      </w:pPr>
      <w:r w:rsidRPr="00E631B0">
        <w:rPr>
          <w:rFonts w:cs="Arial"/>
          <w:sz w:val="20"/>
          <w:szCs w:val="20"/>
          <w:u w:val="single"/>
        </w:rPr>
        <w:t>Para tal efecto, se determinará anualmente la partida presupuestal que permita al órgano especializado en personas traductoras e intérpretes, cumplir con las funciones que la Ley le señala</w:t>
      </w:r>
      <w:r w:rsidRPr="00B63CAF">
        <w:rPr>
          <w:rFonts w:cs="Arial"/>
          <w:sz w:val="20"/>
          <w:szCs w:val="20"/>
        </w:rPr>
        <w:t>.</w:t>
      </w:r>
      <w:r>
        <w:rPr>
          <w:rFonts w:cs="Arial"/>
          <w:sz w:val="20"/>
          <w:szCs w:val="20"/>
        </w:rPr>
        <w:t xml:space="preserve"> (Énfasis añadido).</w:t>
      </w:r>
    </w:p>
  </w:footnote>
  <w:footnote w:id="31">
    <w:p w:rsidR="001771F9" w:rsidRDefault="001771F9" w:rsidP="00B63CAF">
      <w:pPr>
        <w:pStyle w:val="Estilo"/>
        <w:rPr>
          <w:rFonts w:cs="Arial"/>
          <w:b/>
          <w:bCs/>
          <w:sz w:val="20"/>
          <w:szCs w:val="20"/>
        </w:rPr>
      </w:pPr>
      <w:r w:rsidRPr="00E631B0">
        <w:rPr>
          <w:rStyle w:val="Refdenotaalpie"/>
          <w:rFonts w:cs="Arial"/>
          <w:sz w:val="20"/>
          <w:szCs w:val="20"/>
        </w:rPr>
        <w:footnoteRef/>
      </w:r>
      <w:r w:rsidRPr="00E631B0">
        <w:rPr>
          <w:rFonts w:cs="Arial"/>
          <w:sz w:val="20"/>
          <w:szCs w:val="20"/>
        </w:rPr>
        <w:t xml:space="preserve"> </w:t>
      </w:r>
      <w:r w:rsidRPr="00E631B0">
        <w:rPr>
          <w:rFonts w:cs="Arial"/>
          <w:b/>
          <w:bCs/>
          <w:sz w:val="20"/>
          <w:szCs w:val="20"/>
        </w:rPr>
        <w:t>Artículo 272</w:t>
      </w:r>
      <w:r>
        <w:rPr>
          <w:rFonts w:cs="Arial"/>
          <w:b/>
          <w:bCs/>
          <w:sz w:val="20"/>
          <w:szCs w:val="20"/>
        </w:rPr>
        <w:t xml:space="preserve"> i.</w:t>
      </w:r>
      <w:r w:rsidRPr="00E631B0">
        <w:rPr>
          <w:rFonts w:cs="Arial"/>
          <w:b/>
          <w:bCs/>
          <w:sz w:val="20"/>
          <w:szCs w:val="20"/>
        </w:rPr>
        <w:t xml:space="preserve"> </w:t>
      </w:r>
    </w:p>
    <w:p w:rsidR="001771F9" w:rsidRPr="00E631B0" w:rsidRDefault="001771F9" w:rsidP="00B63CAF">
      <w:pPr>
        <w:pStyle w:val="Estilo"/>
        <w:rPr>
          <w:rFonts w:cs="Arial"/>
          <w:b/>
          <w:bCs/>
          <w:sz w:val="20"/>
          <w:szCs w:val="20"/>
        </w:rPr>
      </w:pPr>
      <w:r>
        <w:rPr>
          <w:rFonts w:cs="Arial"/>
          <w:bCs/>
          <w:sz w:val="20"/>
          <w:szCs w:val="20"/>
        </w:rPr>
        <w:t>[…]</w:t>
      </w:r>
    </w:p>
    <w:p w:rsidR="001771F9" w:rsidRPr="00E631B0" w:rsidRDefault="001771F9" w:rsidP="00B63CAF">
      <w:pPr>
        <w:pStyle w:val="Estilo"/>
        <w:rPr>
          <w:rFonts w:cs="Arial"/>
          <w:sz w:val="20"/>
          <w:szCs w:val="20"/>
        </w:rPr>
      </w:pPr>
      <w:r w:rsidRPr="00E631B0">
        <w:rPr>
          <w:rFonts w:cs="Arial"/>
          <w:sz w:val="20"/>
          <w:szCs w:val="20"/>
        </w:rPr>
        <w:t>2) El Órgano Interno de Control tendrá a su cargo prevenir, corregir, investigar y calificar actos u omisiones que pudieran constituir responsabilidades administrativas de las y los servidores públicos del Instituto, así como de particulares a quienes se les vincule con faltas graves; revisar el ingreso, egreso, manejo, custodia y aplicación de los recursos públicos; así como presentar las denuncias por hechos u omisiones que pudieran ser constitutivos de delito ante las autoridades correspondientes; tendrá además a su cargo la fiscalización de los ingresos y egresos del Instituto.</w:t>
      </w:r>
    </w:p>
    <w:p w:rsidR="001771F9" w:rsidRDefault="001771F9" w:rsidP="00B63CAF">
      <w:pPr>
        <w:pStyle w:val="Estilo"/>
        <w:rPr>
          <w:rFonts w:cs="Arial"/>
          <w:sz w:val="20"/>
          <w:szCs w:val="20"/>
        </w:rPr>
      </w:pPr>
      <w:r w:rsidRPr="00E631B0">
        <w:rPr>
          <w:rFonts w:cs="Arial"/>
          <w:sz w:val="20"/>
          <w:szCs w:val="20"/>
          <w:u w:val="single"/>
        </w:rPr>
        <w:t xml:space="preserve">Cuando en el ejercicio de sus atribuciones se vincule a particulares, y estos resultaren </w:t>
      </w:r>
      <w:r w:rsidRPr="00E631B0">
        <w:rPr>
          <w:rFonts w:cs="Arial"/>
          <w:sz w:val="20"/>
          <w:szCs w:val="20"/>
          <w:u w:val="single"/>
        </w:rPr>
        <w:t>autoadscribirse como indígenas, dicho órgano debe garantizar que cuenten con la asistencia de persona defensora, traductora o intérprete, según corresponda. Tratándose de las dos últimas, podrá recurrir al apoyo del Centro de Personas Traductoras e Intérpretes a que se refiere la Ley Orgánica del Poder Judicial del Estado.</w:t>
      </w:r>
      <w:r>
        <w:rPr>
          <w:rFonts w:cs="Arial"/>
          <w:sz w:val="20"/>
          <w:szCs w:val="20"/>
        </w:rPr>
        <w:t xml:space="preserve"> </w:t>
      </w:r>
    </w:p>
    <w:p w:rsidR="001771F9" w:rsidRPr="00E631B0" w:rsidRDefault="001771F9" w:rsidP="00B63CAF">
      <w:pPr>
        <w:pStyle w:val="Estilo"/>
        <w:rPr>
          <w:rFonts w:cs="Arial"/>
          <w:sz w:val="20"/>
          <w:szCs w:val="20"/>
        </w:rPr>
      </w:pPr>
      <w:r>
        <w:rPr>
          <w:rFonts w:cs="Arial"/>
          <w:sz w:val="20"/>
          <w:szCs w:val="20"/>
        </w:rPr>
        <w:t>[…]. (Énfasis añadido).</w:t>
      </w:r>
    </w:p>
  </w:footnote>
  <w:footnote w:id="32">
    <w:p w:rsidR="001771F9" w:rsidRPr="00E631B0" w:rsidRDefault="001771F9" w:rsidP="00C00BDA">
      <w:pPr>
        <w:pStyle w:val="Textonotapie"/>
        <w:jc w:val="both"/>
        <w:rPr>
          <w:rFonts w:ascii="Arial" w:hAnsi="Arial" w:cs="Arial"/>
          <w:highlight w:val="cyan"/>
        </w:rPr>
      </w:pPr>
      <w:r w:rsidRPr="00E631B0">
        <w:rPr>
          <w:rStyle w:val="Refdenotaalpie"/>
          <w:rFonts w:ascii="Arial" w:hAnsi="Arial" w:cs="Arial"/>
        </w:rPr>
        <w:footnoteRef/>
      </w:r>
      <w:r w:rsidRPr="00E631B0">
        <w:rPr>
          <w:rFonts w:ascii="Arial" w:hAnsi="Arial" w:cs="Arial"/>
        </w:rPr>
        <w:t xml:space="preserve"> Véase el expediente de la acción de inco</w:t>
      </w:r>
      <w:r>
        <w:rPr>
          <w:rFonts w:ascii="Arial" w:hAnsi="Arial" w:cs="Arial"/>
        </w:rPr>
        <w:t>nstitucionalidad 201/2020, fojas 145 a 147.</w:t>
      </w:r>
    </w:p>
  </w:footnote>
  <w:footnote w:id="33">
    <w:p w:rsidR="001771F9" w:rsidRPr="004E69E7" w:rsidRDefault="001771F9" w:rsidP="007F0BB9">
      <w:pPr>
        <w:pStyle w:val="Textonotapie"/>
        <w:jc w:val="both"/>
        <w:rPr>
          <w:rFonts w:ascii="Arial" w:hAnsi="Arial" w:cs="Arial"/>
        </w:rPr>
      </w:pPr>
      <w:r w:rsidRPr="004E69E7">
        <w:rPr>
          <w:rStyle w:val="Refdenotaalpie"/>
          <w:rFonts w:ascii="Arial" w:hAnsi="Arial" w:cs="Arial"/>
        </w:rPr>
        <w:footnoteRef/>
      </w:r>
      <w:r>
        <w:rPr>
          <w:rFonts w:ascii="Arial" w:hAnsi="Arial" w:cs="Arial"/>
        </w:rPr>
        <w:t xml:space="preserve"> Véase </w:t>
      </w:r>
      <w:r w:rsidRPr="00D06DA0">
        <w:rPr>
          <w:rFonts w:ascii="Arial" w:hAnsi="Arial" w:cs="Arial"/>
          <w:i/>
        </w:rPr>
        <w:t>supra</w:t>
      </w:r>
      <w:r>
        <w:rPr>
          <w:rFonts w:ascii="Arial" w:hAnsi="Arial" w:cs="Arial"/>
        </w:rPr>
        <w:t xml:space="preserve"> nota 27. </w:t>
      </w:r>
    </w:p>
  </w:footnote>
  <w:footnote w:id="34">
    <w:p w:rsidR="001771F9" w:rsidRPr="00E631B0" w:rsidRDefault="001771F9" w:rsidP="002D26DB">
      <w:pPr>
        <w:pStyle w:val="Estilo"/>
        <w:rPr>
          <w:rFonts w:cs="Arial"/>
          <w:sz w:val="20"/>
          <w:szCs w:val="20"/>
        </w:rPr>
      </w:pPr>
      <w:r w:rsidRPr="00E631B0">
        <w:rPr>
          <w:rStyle w:val="Refdenotaalpie"/>
          <w:rFonts w:cs="Arial"/>
          <w:sz w:val="20"/>
          <w:szCs w:val="20"/>
        </w:rPr>
        <w:footnoteRef/>
      </w:r>
      <w:r w:rsidRPr="00E631B0">
        <w:rPr>
          <w:rFonts w:cs="Arial"/>
          <w:sz w:val="20"/>
          <w:szCs w:val="20"/>
        </w:rPr>
        <w:t xml:space="preserve"> </w:t>
      </w:r>
      <w:r w:rsidRPr="00E631B0">
        <w:rPr>
          <w:rFonts w:cs="Arial"/>
          <w:b/>
          <w:bCs/>
          <w:sz w:val="20"/>
          <w:szCs w:val="20"/>
        </w:rPr>
        <w:t>Artículo 16.</w:t>
      </w:r>
      <w:r w:rsidRPr="00E631B0">
        <w:rPr>
          <w:rFonts w:cs="Arial"/>
          <w:sz w:val="20"/>
          <w:szCs w:val="20"/>
        </w:rPr>
        <w:t xml:space="preserve"> Son áreas auxiliares del </w:t>
      </w:r>
      <w:r>
        <w:rPr>
          <w:rFonts w:cs="Arial"/>
          <w:sz w:val="20"/>
          <w:szCs w:val="20"/>
        </w:rPr>
        <w:t>Poder Judicial las siguientes: […]</w:t>
      </w:r>
    </w:p>
    <w:p w:rsidR="001771F9" w:rsidRPr="00E631B0" w:rsidRDefault="001771F9" w:rsidP="002D26DB">
      <w:pPr>
        <w:pStyle w:val="Estilo"/>
        <w:rPr>
          <w:rFonts w:cs="Arial"/>
          <w:sz w:val="20"/>
          <w:szCs w:val="20"/>
        </w:rPr>
      </w:pPr>
      <w:r w:rsidRPr="00E631B0">
        <w:rPr>
          <w:rFonts w:cs="Arial"/>
          <w:sz w:val="20"/>
          <w:szCs w:val="20"/>
        </w:rPr>
        <w:t>II.</w:t>
      </w:r>
      <w:r>
        <w:rPr>
          <w:rFonts w:cs="Arial"/>
          <w:sz w:val="20"/>
          <w:szCs w:val="20"/>
        </w:rPr>
        <w:t xml:space="preserve"> De la función administrativa: […]</w:t>
      </w:r>
      <w:r w:rsidRPr="00E631B0">
        <w:rPr>
          <w:rFonts w:cs="Arial"/>
          <w:sz w:val="20"/>
          <w:szCs w:val="20"/>
        </w:rPr>
        <w:t xml:space="preserve"> </w:t>
      </w:r>
    </w:p>
    <w:p w:rsidR="001771F9" w:rsidRPr="00E631B0" w:rsidRDefault="001771F9" w:rsidP="002D26DB">
      <w:pPr>
        <w:pStyle w:val="Estilo"/>
        <w:rPr>
          <w:rFonts w:cs="Arial"/>
          <w:sz w:val="20"/>
          <w:szCs w:val="20"/>
        </w:rPr>
      </w:pPr>
      <w:r w:rsidRPr="00E631B0">
        <w:rPr>
          <w:rFonts w:cs="Arial"/>
          <w:sz w:val="20"/>
          <w:szCs w:val="20"/>
        </w:rPr>
        <w:t>i) Centro de Perso</w:t>
      </w:r>
      <w:r>
        <w:rPr>
          <w:rFonts w:cs="Arial"/>
          <w:sz w:val="20"/>
          <w:szCs w:val="20"/>
        </w:rPr>
        <w:t>nas Traductoras e Intérpretes. […]</w:t>
      </w:r>
      <w:r w:rsidRPr="00E631B0">
        <w:rPr>
          <w:rFonts w:cs="Arial"/>
          <w:sz w:val="20"/>
          <w:szCs w:val="20"/>
        </w:rPr>
        <w:t xml:space="preserve"> </w:t>
      </w:r>
    </w:p>
  </w:footnote>
  <w:footnote w:id="35">
    <w:p w:rsidR="001771F9" w:rsidRPr="00E631B0" w:rsidRDefault="001771F9" w:rsidP="00FC6487">
      <w:pPr>
        <w:pStyle w:val="Estilo"/>
        <w:rPr>
          <w:rFonts w:cs="Arial"/>
          <w:sz w:val="20"/>
          <w:szCs w:val="20"/>
        </w:rPr>
      </w:pPr>
      <w:r w:rsidRPr="00E631B0">
        <w:rPr>
          <w:rStyle w:val="Refdenotaalpie"/>
          <w:rFonts w:cs="Arial"/>
          <w:sz w:val="20"/>
          <w:szCs w:val="20"/>
        </w:rPr>
        <w:footnoteRef/>
      </w:r>
      <w:r w:rsidRPr="00E631B0">
        <w:rPr>
          <w:rFonts w:cs="Arial"/>
          <w:sz w:val="20"/>
          <w:szCs w:val="20"/>
        </w:rPr>
        <w:t xml:space="preserve"> </w:t>
      </w:r>
      <w:r w:rsidRPr="00E631B0">
        <w:rPr>
          <w:rFonts w:cs="Arial"/>
          <w:b/>
          <w:bCs/>
          <w:sz w:val="20"/>
          <w:szCs w:val="20"/>
        </w:rPr>
        <w:t>Artículo 177 Bis</w:t>
      </w:r>
      <w:r>
        <w:rPr>
          <w:rFonts w:cs="Arial"/>
          <w:b/>
          <w:bCs/>
          <w:sz w:val="20"/>
          <w:szCs w:val="20"/>
        </w:rPr>
        <w:t>.</w:t>
      </w:r>
      <w:r w:rsidRPr="00E631B0">
        <w:rPr>
          <w:rFonts w:cs="Arial"/>
          <w:sz w:val="20"/>
          <w:szCs w:val="20"/>
        </w:rPr>
        <w:t xml:space="preserve"> El Centro de Personas Traductoras e Intérpretes es un órgano auxiliar del Poder Judicial, con autonomía técnica y operativa para el cumplimiento de sus funciones y desarrollo de sus actividades sustantivas.</w:t>
      </w:r>
    </w:p>
    <w:p w:rsidR="001771F9" w:rsidRPr="00E631B0" w:rsidRDefault="001771F9" w:rsidP="00FC6487">
      <w:pPr>
        <w:pStyle w:val="Estilo"/>
        <w:rPr>
          <w:rFonts w:cs="Arial"/>
          <w:sz w:val="20"/>
          <w:szCs w:val="20"/>
        </w:rPr>
      </w:pPr>
      <w:r w:rsidRPr="00E631B0">
        <w:rPr>
          <w:rFonts w:cs="Arial"/>
          <w:sz w:val="20"/>
          <w:szCs w:val="20"/>
        </w:rPr>
        <w:t>Tiene como objeto proveer lo necesario en materia de traducción e interpretación, a fin de que las instituciones de procuración, impartición y administración de justicia puedan garantizar, en este sentido, el derecho de acceso a la justicia a personas con discapacidad, particularmente visual, auditiva o del habla, así como a los pueblos y comunidades indígenas. Para tal efecto, contará con personal especializado en Lengua de Señas Mexicana, en la emisión de documentos en Sistema de Escritura Braille, en lenguas indígenas y demás ayudas técnicas y humanas necesarias para la comunicación.</w:t>
      </w:r>
    </w:p>
    <w:p w:rsidR="001771F9" w:rsidRPr="00E631B0" w:rsidRDefault="001771F9" w:rsidP="00FC6487">
      <w:pPr>
        <w:pStyle w:val="Estilo"/>
        <w:rPr>
          <w:rFonts w:cs="Arial"/>
          <w:sz w:val="20"/>
          <w:szCs w:val="20"/>
        </w:rPr>
      </w:pPr>
      <w:r w:rsidRPr="00E631B0">
        <w:rPr>
          <w:rFonts w:cs="Arial"/>
          <w:sz w:val="20"/>
          <w:szCs w:val="20"/>
        </w:rPr>
        <w:t>Así mismo, apoyará a los Poderes del Estado y demás autoridades de la Entidad Federativa, para que los actos que emitan en el ámbito de su competencia, con consecuencias jurídicas para personas con discapacidad visual, auditiva o del habla, así como para los pueblos y comunidades indígenas, se desarrollen con la asistencia de personas traductoras o intérpretes debidamente certificadas, según corresponda.</w:t>
      </w:r>
    </w:p>
    <w:p w:rsidR="001771F9" w:rsidRPr="00E631B0" w:rsidRDefault="001771F9" w:rsidP="00FC6487">
      <w:pPr>
        <w:pStyle w:val="Estilo"/>
        <w:rPr>
          <w:rFonts w:cs="Arial"/>
          <w:sz w:val="20"/>
          <w:szCs w:val="20"/>
        </w:rPr>
      </w:pPr>
      <w:r w:rsidRPr="00E631B0">
        <w:rPr>
          <w:rFonts w:cs="Arial"/>
          <w:b/>
          <w:bCs/>
          <w:sz w:val="20"/>
          <w:szCs w:val="20"/>
        </w:rPr>
        <w:t>Artículo 177 Ter</w:t>
      </w:r>
      <w:r>
        <w:rPr>
          <w:rFonts w:cs="Arial"/>
          <w:b/>
          <w:bCs/>
          <w:sz w:val="20"/>
          <w:szCs w:val="20"/>
        </w:rPr>
        <w:t>.</w:t>
      </w:r>
      <w:r w:rsidRPr="00E631B0">
        <w:rPr>
          <w:rFonts w:cs="Arial"/>
          <w:sz w:val="20"/>
          <w:szCs w:val="20"/>
        </w:rPr>
        <w:t xml:space="preserve"> El Centro de Personas Traductoras e Intérpretes dependerá del Consejo y para el adecuado cumplimiento de sus funciones se establecerán centros regionales en aquellos distritos judiciales que así lo requieran, previo cumplimiento del procedimiento establecido por la Ley para tal efecto.</w:t>
      </w:r>
    </w:p>
    <w:p w:rsidR="001771F9" w:rsidRPr="00E631B0" w:rsidRDefault="001771F9" w:rsidP="00FC6487">
      <w:pPr>
        <w:pStyle w:val="Estilo"/>
        <w:rPr>
          <w:rFonts w:cs="Arial"/>
          <w:sz w:val="20"/>
          <w:szCs w:val="20"/>
        </w:rPr>
      </w:pPr>
      <w:r>
        <w:rPr>
          <w:rFonts w:cs="Arial"/>
          <w:b/>
          <w:bCs/>
          <w:sz w:val="20"/>
          <w:szCs w:val="20"/>
        </w:rPr>
        <w:t>Artículo 177 Quáter.</w:t>
      </w:r>
      <w:r w:rsidRPr="00E631B0">
        <w:rPr>
          <w:rFonts w:cs="Arial"/>
          <w:sz w:val="20"/>
          <w:szCs w:val="20"/>
        </w:rPr>
        <w:t xml:space="preserve"> El Centro de Personas Traductoras e Intérpretes ejercerá sus atribuciones a través de la estructura orgánica que determine el Consejo y contará con el número de personas traductoras e intérpretes necesarias, de conformidad con los requerimientos de cada distrito judicial.</w:t>
      </w:r>
    </w:p>
  </w:footnote>
  <w:footnote w:id="36">
    <w:p w:rsidR="001771F9" w:rsidRPr="00154C8E" w:rsidRDefault="001771F9" w:rsidP="006F2208">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Véase </w:t>
      </w:r>
      <w:r w:rsidRPr="006F2208">
        <w:rPr>
          <w:rFonts w:ascii="Arial" w:hAnsi="Arial" w:cs="Arial"/>
          <w:i/>
        </w:rPr>
        <w:t>supra</w:t>
      </w:r>
      <w:r>
        <w:rPr>
          <w:rFonts w:ascii="Arial" w:hAnsi="Arial" w:cs="Arial"/>
        </w:rPr>
        <w:t xml:space="preserve"> nota 28</w:t>
      </w:r>
      <w:r w:rsidRPr="00154C8E">
        <w:rPr>
          <w:rFonts w:ascii="Arial" w:hAnsi="Arial" w:cs="Arial"/>
        </w:rPr>
        <w:t xml:space="preserve">. </w:t>
      </w:r>
    </w:p>
  </w:footnote>
  <w:footnote w:id="37">
    <w:p w:rsidR="001771F9" w:rsidRPr="00154C8E" w:rsidRDefault="001771F9" w:rsidP="00A71D3F">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Véase el expediente de la acción de inco</w:t>
      </w:r>
      <w:r>
        <w:rPr>
          <w:rFonts w:ascii="Arial" w:hAnsi="Arial" w:cs="Arial"/>
        </w:rPr>
        <w:t>nstitucionalidad 201/2020, foja 148.</w:t>
      </w:r>
    </w:p>
  </w:footnote>
  <w:footnote w:id="38">
    <w:p w:rsidR="001771F9" w:rsidRPr="00E631B0" w:rsidRDefault="001771F9" w:rsidP="003644E3">
      <w:pPr>
        <w:pStyle w:val="Estilo"/>
        <w:rPr>
          <w:rFonts w:cs="Arial"/>
          <w:sz w:val="20"/>
          <w:szCs w:val="20"/>
        </w:rPr>
      </w:pPr>
      <w:r w:rsidRPr="00E631B0">
        <w:rPr>
          <w:rStyle w:val="Refdenotaalpie"/>
          <w:rFonts w:cs="Arial"/>
          <w:sz w:val="20"/>
          <w:szCs w:val="20"/>
        </w:rPr>
        <w:footnoteRef/>
      </w:r>
      <w:r w:rsidRPr="00E631B0">
        <w:rPr>
          <w:rFonts w:cs="Arial"/>
          <w:sz w:val="20"/>
          <w:szCs w:val="20"/>
        </w:rPr>
        <w:t xml:space="preserve"> </w:t>
      </w:r>
      <w:r w:rsidRPr="00E631B0">
        <w:rPr>
          <w:rFonts w:cs="Arial"/>
          <w:b/>
          <w:bCs/>
          <w:sz w:val="20"/>
          <w:szCs w:val="20"/>
        </w:rPr>
        <w:t>Artículo 18</w:t>
      </w:r>
      <w:r>
        <w:rPr>
          <w:rFonts w:cs="Arial"/>
          <w:b/>
          <w:bCs/>
          <w:sz w:val="20"/>
          <w:szCs w:val="20"/>
        </w:rPr>
        <w:t>.</w:t>
      </w:r>
      <w:r w:rsidRPr="00E631B0">
        <w:rPr>
          <w:rFonts w:cs="Arial"/>
          <w:sz w:val="20"/>
          <w:szCs w:val="20"/>
        </w:rPr>
        <w:t xml:space="preserve"> Los pueblos y las comunidades indígenas, con base en su autonomía, tienen derecho al uso y desarrollo de su sistema médico tradicional, así como al acceso, sin discriminación alguna, a todas las instituciones de salubridad y de servicios de salud y atención médica.</w:t>
      </w:r>
    </w:p>
    <w:p w:rsidR="001771F9" w:rsidRPr="00E631B0" w:rsidRDefault="001771F9" w:rsidP="003644E3">
      <w:pPr>
        <w:pStyle w:val="Estilo"/>
        <w:rPr>
          <w:rFonts w:cs="Arial"/>
          <w:sz w:val="20"/>
          <w:szCs w:val="20"/>
        </w:rPr>
      </w:pPr>
      <w:r w:rsidRPr="00E631B0">
        <w:rPr>
          <w:rFonts w:cs="Arial"/>
          <w:sz w:val="20"/>
          <w:szCs w:val="20"/>
        </w:rPr>
        <w:t>Los servicios de salud que el Poder Ejecutivo del Estado proporcione a las personas que integran los pueblos y las comunidades indígenas se planearán y desarrollarán privilegiando el uso de su idioma y respetando, promoviendo y propiciando su sistema médico tradicional. Asimismo propiciarán la inclusión de las personas médicas tradicionales indígenas, de conformidad con lo que establezcan las leyes en la materia.</w:t>
      </w:r>
    </w:p>
    <w:p w:rsidR="001771F9" w:rsidRPr="002B4F1A" w:rsidRDefault="001771F9" w:rsidP="003644E3">
      <w:pPr>
        <w:pStyle w:val="Estilo"/>
        <w:rPr>
          <w:rFonts w:cs="Arial"/>
          <w:sz w:val="20"/>
          <w:szCs w:val="20"/>
        </w:rPr>
      </w:pPr>
      <w:r w:rsidRPr="00E631B0">
        <w:rPr>
          <w:rFonts w:cs="Arial"/>
          <w:sz w:val="20"/>
          <w:szCs w:val="20"/>
          <w:u w:val="single"/>
        </w:rPr>
        <w:t>La información que se difunda en las campañas de salud, tratamientos médicos o quirúrgicos a los pacientes, incluidas las autorizaciones para recibir estos</w:t>
      </w:r>
      <w:r>
        <w:rPr>
          <w:rFonts w:cs="Arial"/>
          <w:sz w:val="20"/>
          <w:szCs w:val="20"/>
          <w:u w:val="single"/>
        </w:rPr>
        <w:t xml:space="preserve"> (sic)</w:t>
      </w:r>
      <w:r w:rsidRPr="00E631B0">
        <w:rPr>
          <w:rFonts w:cs="Arial"/>
          <w:sz w:val="20"/>
          <w:szCs w:val="20"/>
          <w:u w:val="single"/>
        </w:rPr>
        <w:t xml:space="preserve">, deberá traducirse a la lengua materna de acuerdo al </w:t>
      </w:r>
      <w:r>
        <w:rPr>
          <w:rFonts w:cs="Arial"/>
          <w:sz w:val="20"/>
          <w:szCs w:val="20"/>
          <w:u w:val="single"/>
        </w:rPr>
        <w:t>pueblo indígena de que se trate</w:t>
      </w:r>
      <w:r>
        <w:rPr>
          <w:rFonts w:cs="Arial"/>
          <w:sz w:val="20"/>
          <w:szCs w:val="20"/>
        </w:rPr>
        <w:t>. (Énfasis añadido).</w:t>
      </w:r>
    </w:p>
  </w:footnote>
  <w:footnote w:id="39">
    <w:p w:rsidR="001771F9" w:rsidRPr="000C7A81" w:rsidRDefault="001771F9">
      <w:pPr>
        <w:pStyle w:val="Textonotapie"/>
        <w:rPr>
          <w:rFonts w:ascii="Arial" w:hAnsi="Arial" w:cs="Arial"/>
        </w:rPr>
      </w:pPr>
      <w:r w:rsidRPr="000C7A81">
        <w:rPr>
          <w:rStyle w:val="Refdenotaalpie"/>
          <w:rFonts w:ascii="Arial" w:hAnsi="Arial" w:cs="Arial"/>
        </w:rPr>
        <w:footnoteRef/>
      </w:r>
      <w:r w:rsidRPr="000C7A81">
        <w:rPr>
          <w:rFonts w:ascii="Arial" w:hAnsi="Arial" w:cs="Arial"/>
        </w:rPr>
        <w:t xml:space="preserve"> En términos de lo dispuesto en el artículo 40 de la Ley Reglamentaria, la Suprema Corte suplirá la deficiencia de la demanda.</w:t>
      </w:r>
    </w:p>
  </w:footnote>
  <w:footnote w:id="40">
    <w:p w:rsidR="001771F9" w:rsidRPr="009A7AE2" w:rsidRDefault="001771F9" w:rsidP="007866AA">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sidRPr="00154C8E">
        <w:rPr>
          <w:rFonts w:ascii="Arial" w:hAnsi="Arial" w:cs="Arial"/>
          <w:b/>
        </w:rPr>
        <w:t xml:space="preserve">Artículo </w:t>
      </w:r>
      <w:r>
        <w:rPr>
          <w:rFonts w:ascii="Arial" w:hAnsi="Arial" w:cs="Arial"/>
          <w:b/>
        </w:rPr>
        <w:t>2</w:t>
      </w:r>
      <w:r w:rsidRPr="00154C8E">
        <w:rPr>
          <w:rFonts w:ascii="Arial" w:hAnsi="Arial" w:cs="Arial"/>
          <w:b/>
        </w:rPr>
        <w:t xml:space="preserve">. </w:t>
      </w:r>
      <w:r>
        <w:rPr>
          <w:rFonts w:ascii="Arial" w:hAnsi="Arial" w:cs="Arial"/>
        </w:rPr>
        <w:t>La Nación Mexicana es única e indivisible.</w:t>
      </w:r>
    </w:p>
    <w:p w:rsidR="001771F9" w:rsidRDefault="001771F9" w:rsidP="007866AA">
      <w:pPr>
        <w:pStyle w:val="Textonotapie"/>
        <w:jc w:val="both"/>
        <w:rPr>
          <w:rFonts w:ascii="Arial" w:hAnsi="Arial" w:cs="Arial"/>
          <w:bCs/>
        </w:rPr>
      </w:pPr>
      <w:r w:rsidRPr="007866AA">
        <w:rPr>
          <w:rFonts w:ascii="Arial" w:hAnsi="Arial" w:cs="Arial"/>
          <w:bCs/>
        </w:rPr>
        <w:t>[…]</w:t>
      </w:r>
    </w:p>
    <w:p w:rsidR="001771F9" w:rsidRDefault="001771F9" w:rsidP="007866AA">
      <w:pPr>
        <w:pStyle w:val="Textonotapie"/>
        <w:jc w:val="both"/>
        <w:rPr>
          <w:rFonts w:ascii="Arial" w:hAnsi="Arial" w:cs="Arial"/>
        </w:rPr>
      </w:pPr>
      <w:r w:rsidRPr="009A7AE2">
        <w:rPr>
          <w:rFonts w:ascii="Arial" w:hAnsi="Arial" w:cs="Arial"/>
        </w:rPr>
        <w:t>El derecho de los pueblos indígenas a la libre determinación se ejercerá en un marco constitucional de autonomía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1771F9" w:rsidRDefault="001771F9" w:rsidP="007866AA">
      <w:pPr>
        <w:pStyle w:val="Textonotapie"/>
        <w:jc w:val="both"/>
        <w:rPr>
          <w:rFonts w:ascii="Arial" w:hAnsi="Arial" w:cs="Arial"/>
        </w:rPr>
      </w:pPr>
      <w:r>
        <w:rPr>
          <w:rFonts w:ascii="Arial" w:hAnsi="Arial" w:cs="Arial"/>
        </w:rPr>
        <w:t xml:space="preserve">A. </w:t>
      </w:r>
      <w:r w:rsidRPr="009A7AE2">
        <w:rPr>
          <w:rFonts w:ascii="Arial" w:hAnsi="Arial" w:cs="Arial"/>
        </w:rPr>
        <w:t>Esta Constitución reconoce y garantiza el derecho de los pueblos y las comunidades indígenas a la libre determinación y, en consecuencia, a la autonomía para:</w:t>
      </w:r>
    </w:p>
    <w:p w:rsidR="001771F9" w:rsidRDefault="001771F9" w:rsidP="007866AA">
      <w:pPr>
        <w:pStyle w:val="Textonotapie"/>
        <w:jc w:val="both"/>
        <w:rPr>
          <w:rFonts w:ascii="Arial" w:hAnsi="Arial" w:cs="Arial"/>
        </w:rPr>
      </w:pPr>
      <w:r>
        <w:rPr>
          <w:rFonts w:ascii="Arial" w:hAnsi="Arial" w:cs="Arial"/>
        </w:rPr>
        <w:t>I. Decidir sus formas</w:t>
      </w:r>
      <w:r w:rsidRPr="00FE5D6D">
        <w:rPr>
          <w:rFonts w:ascii="Arial" w:hAnsi="Arial" w:cs="Arial"/>
          <w:color w:val="000000"/>
        </w:rPr>
        <w:t xml:space="preserve"> </w:t>
      </w:r>
      <w:r w:rsidRPr="00FE5D6D">
        <w:rPr>
          <w:rFonts w:ascii="Arial" w:hAnsi="Arial" w:cs="Arial"/>
        </w:rPr>
        <w:t>de convivencia y organización social, económica, política y cultural.</w:t>
      </w:r>
    </w:p>
    <w:p w:rsidR="001771F9" w:rsidRDefault="001771F9" w:rsidP="007866AA">
      <w:pPr>
        <w:pStyle w:val="Textonotapie"/>
        <w:jc w:val="both"/>
        <w:rPr>
          <w:rFonts w:ascii="Arial" w:hAnsi="Arial" w:cs="Arial"/>
        </w:rPr>
      </w:pPr>
      <w:r>
        <w:rPr>
          <w:rFonts w:ascii="Arial" w:hAnsi="Arial" w:cs="Arial"/>
        </w:rPr>
        <w:t>[…]</w:t>
      </w:r>
    </w:p>
    <w:p w:rsidR="001771F9" w:rsidRDefault="001771F9" w:rsidP="007866AA">
      <w:pPr>
        <w:pStyle w:val="Textonotapie"/>
        <w:jc w:val="both"/>
        <w:rPr>
          <w:rFonts w:ascii="Arial" w:hAnsi="Arial" w:cs="Arial"/>
        </w:rPr>
      </w:pPr>
      <w:r>
        <w:rPr>
          <w:rFonts w:ascii="Arial" w:hAnsi="Arial" w:cs="Arial"/>
        </w:rPr>
        <w:t>VIII.</w:t>
      </w:r>
      <w:r w:rsidRPr="00FE5D6D">
        <w:rPr>
          <w:rFonts w:ascii="Arial" w:hAnsi="Arial" w:cs="Arial"/>
          <w:color w:val="000000"/>
        </w:rPr>
        <w:t xml:space="preserve"> </w:t>
      </w:r>
      <w:r w:rsidRPr="00FE5D6D">
        <w:rPr>
          <w:rFonts w:ascii="Arial" w:hAnsi="Arial" w:cs="Arial"/>
        </w:rPr>
        <w:t>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todo tiempo el derecho a ser asistidos por intérpretes y defensores que tengan conocimiento de su lengua y cultura.</w:t>
      </w:r>
    </w:p>
    <w:p w:rsidR="001771F9" w:rsidRPr="007866AA" w:rsidRDefault="001771F9" w:rsidP="007866AA">
      <w:pPr>
        <w:pStyle w:val="Textonotapie"/>
        <w:jc w:val="both"/>
        <w:rPr>
          <w:rFonts w:ascii="Arial" w:hAnsi="Arial" w:cs="Arial"/>
        </w:rPr>
      </w:pPr>
      <w:r w:rsidRPr="00FE5D6D">
        <w:rPr>
          <w:rFonts w:ascii="Arial" w:hAnsi="Arial" w:cs="Arial"/>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r w:rsidRPr="007866AA">
        <w:rPr>
          <w:rFonts w:ascii="Arial" w:hAnsi="Arial" w:cs="Arial"/>
        </w:rPr>
        <w:t xml:space="preserve"> </w:t>
      </w:r>
    </w:p>
    <w:p w:rsidR="001771F9" w:rsidRDefault="001771F9" w:rsidP="003F24C8">
      <w:pPr>
        <w:pStyle w:val="Textonotapie"/>
        <w:jc w:val="both"/>
        <w:rPr>
          <w:rFonts w:ascii="Arial" w:hAnsi="Arial" w:cs="Arial"/>
        </w:rPr>
      </w:pPr>
      <w:r w:rsidRPr="00DA1E5C">
        <w:rPr>
          <w:rFonts w:ascii="Arial" w:hAnsi="Arial" w:cs="Arial"/>
          <w:bCs/>
        </w:rPr>
        <w:t>B.</w:t>
      </w:r>
      <w:r w:rsidRPr="007571C8">
        <w:rPr>
          <w:rFonts w:ascii="Arial" w:hAnsi="Arial" w:cs="Arial"/>
          <w:b/>
          <w:bCs/>
        </w:rPr>
        <w:t xml:space="preserve"> </w:t>
      </w:r>
      <w:r w:rsidRPr="007571C8">
        <w:rPr>
          <w:rFonts w:ascii="Arial" w:hAnsi="Arial" w:cs="Arial"/>
        </w:rPr>
        <w:t>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1771F9" w:rsidRPr="007571C8" w:rsidRDefault="001771F9" w:rsidP="003F24C8">
      <w:pPr>
        <w:pStyle w:val="Textonotapie"/>
        <w:jc w:val="both"/>
        <w:rPr>
          <w:rFonts w:ascii="Arial" w:hAnsi="Arial" w:cs="Arial"/>
        </w:rPr>
      </w:pPr>
      <w:r w:rsidRPr="001F1B0B">
        <w:rPr>
          <w:rFonts w:ascii="Arial" w:hAnsi="Arial" w:cs="Arial"/>
        </w:rPr>
        <w:t>Para abatir las carencias y rezagos que afectan a los pueblos y comunidades indígenas, dichas autoridades, tienen la obligación de:</w:t>
      </w:r>
    </w:p>
    <w:p w:rsidR="001771F9" w:rsidRDefault="001771F9" w:rsidP="003F24C8">
      <w:pPr>
        <w:pStyle w:val="Textonotapie"/>
        <w:jc w:val="both"/>
        <w:rPr>
          <w:rFonts w:ascii="Arial" w:hAnsi="Arial" w:cs="Arial"/>
          <w:bCs/>
        </w:rPr>
      </w:pPr>
      <w:r w:rsidRPr="007571C8">
        <w:rPr>
          <w:rFonts w:ascii="Arial" w:hAnsi="Arial" w:cs="Arial"/>
          <w:bCs/>
        </w:rPr>
        <w:t>[…]</w:t>
      </w:r>
    </w:p>
    <w:p w:rsidR="001771F9" w:rsidRDefault="001771F9" w:rsidP="003F24C8">
      <w:pPr>
        <w:pStyle w:val="Textonotapie"/>
        <w:jc w:val="both"/>
        <w:rPr>
          <w:rFonts w:ascii="Arial" w:hAnsi="Arial" w:cs="Arial"/>
          <w:bCs/>
        </w:rPr>
      </w:pPr>
      <w:r>
        <w:rPr>
          <w:rFonts w:ascii="Arial" w:hAnsi="Arial" w:cs="Arial"/>
          <w:bCs/>
        </w:rPr>
        <w:t xml:space="preserve">IX. </w:t>
      </w:r>
      <w:r w:rsidRPr="001F1B0B">
        <w:rPr>
          <w:rFonts w:ascii="Arial" w:hAnsi="Arial" w:cs="Arial"/>
          <w:bCs/>
        </w:rPr>
        <w:t>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rsidR="001771F9" w:rsidRDefault="001771F9" w:rsidP="003F24C8">
      <w:pPr>
        <w:pStyle w:val="Textonotapie"/>
        <w:jc w:val="both"/>
        <w:rPr>
          <w:rFonts w:ascii="Arial" w:hAnsi="Arial" w:cs="Arial"/>
          <w:bCs/>
        </w:rPr>
      </w:pPr>
      <w:r w:rsidRPr="001F1B0B">
        <w:rPr>
          <w:rFonts w:ascii="Arial" w:hAnsi="Arial" w:cs="Arial"/>
          <w:bCs/>
        </w:rPr>
        <w:t>Para garantizar el cumplimiento de las obligaciones señaladas en este apartado, la Cámara de Diputados del Congreso de la Unión, las legislaturas de las entidades federativas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1771F9" w:rsidRPr="007571C8" w:rsidRDefault="001771F9" w:rsidP="003F24C8">
      <w:pPr>
        <w:pStyle w:val="Textonotapie"/>
        <w:jc w:val="both"/>
        <w:rPr>
          <w:rFonts w:ascii="Arial" w:hAnsi="Arial" w:cs="Arial"/>
        </w:rPr>
      </w:pPr>
      <w:r>
        <w:rPr>
          <w:rFonts w:ascii="Arial" w:hAnsi="Arial" w:cs="Arial"/>
          <w:bCs/>
        </w:rPr>
        <w:t>[…]</w:t>
      </w:r>
    </w:p>
    <w:p w:rsidR="001771F9" w:rsidRPr="00154C8E" w:rsidRDefault="001771F9" w:rsidP="003F24C8">
      <w:pPr>
        <w:pStyle w:val="Textonotapie"/>
        <w:jc w:val="both"/>
        <w:rPr>
          <w:rFonts w:ascii="Arial" w:hAnsi="Arial" w:cs="Arial"/>
        </w:rPr>
      </w:pPr>
      <w:r w:rsidRPr="00DA1E5C">
        <w:rPr>
          <w:rFonts w:ascii="Arial" w:hAnsi="Arial" w:cs="Arial"/>
          <w:bCs/>
        </w:rPr>
        <w:t xml:space="preserve">C. </w:t>
      </w:r>
      <w:r w:rsidRPr="003F24C8">
        <w:rPr>
          <w:rFonts w:ascii="Arial" w:hAnsi="Arial" w:cs="Arial"/>
        </w:rPr>
        <w:t>Esta Constitución reconoce a los pueblos y comunidades afromexicanas, cualquiera que sea su autodenominación, como parte de la composición pluricultural de la Nación. Tendrán en lo conducente los derechos señalados en los apartados anteriores del presente artículo en los</w:t>
      </w:r>
      <w:r>
        <w:rPr>
          <w:rFonts w:ascii="Arial" w:hAnsi="Arial" w:cs="Arial"/>
        </w:rPr>
        <w:t xml:space="preserve"> </w:t>
      </w:r>
      <w:r w:rsidRPr="003F24C8">
        <w:rPr>
          <w:rFonts w:ascii="Arial" w:hAnsi="Arial" w:cs="Arial"/>
        </w:rPr>
        <w:t>términos que establezcan las leyes, a fin de garantizar su libre determinación, autonomía</w:t>
      </w:r>
      <w:r>
        <w:rPr>
          <w:rFonts w:ascii="Arial" w:hAnsi="Arial" w:cs="Arial"/>
        </w:rPr>
        <w:t>, desarrollo e inclusión social</w:t>
      </w:r>
      <w:r w:rsidRPr="00154C8E">
        <w:rPr>
          <w:rFonts w:ascii="Arial" w:hAnsi="Arial" w:cs="Arial"/>
        </w:rPr>
        <w:t>.</w:t>
      </w:r>
    </w:p>
  </w:footnote>
  <w:footnote w:id="41">
    <w:p w:rsidR="001771F9" w:rsidRDefault="001771F9" w:rsidP="00B7188E">
      <w:pPr>
        <w:pStyle w:val="Sinespaciado"/>
        <w:jc w:val="both"/>
        <w:rPr>
          <w:rFonts w:ascii="Arial" w:hAnsi="Arial" w:cs="Arial"/>
          <w:b/>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w:t>
      </w:r>
      <w:r>
        <w:rPr>
          <w:rFonts w:ascii="Arial" w:hAnsi="Arial" w:cs="Arial"/>
          <w:b/>
          <w:sz w:val="20"/>
          <w:szCs w:val="20"/>
        </w:rPr>
        <w:t>Artículo 6.</w:t>
      </w:r>
    </w:p>
    <w:p w:rsidR="001771F9" w:rsidRDefault="001771F9" w:rsidP="00B7188E">
      <w:pPr>
        <w:pStyle w:val="Sinespaciado"/>
        <w:jc w:val="both"/>
        <w:rPr>
          <w:rFonts w:ascii="Arial" w:hAnsi="Arial" w:cs="Arial"/>
          <w:sz w:val="20"/>
          <w:szCs w:val="20"/>
        </w:rPr>
      </w:pPr>
      <w:r w:rsidRPr="00DA1E5C">
        <w:rPr>
          <w:rFonts w:ascii="Arial" w:hAnsi="Arial" w:cs="Arial"/>
          <w:sz w:val="20"/>
          <w:szCs w:val="20"/>
        </w:rPr>
        <w:t xml:space="preserve">1. </w:t>
      </w:r>
      <w:r w:rsidRPr="00E631B0">
        <w:rPr>
          <w:rFonts w:ascii="Arial" w:hAnsi="Arial" w:cs="Arial"/>
          <w:sz w:val="20"/>
          <w:szCs w:val="20"/>
        </w:rPr>
        <w:t xml:space="preserve">Al aplicar las disposiciones del presente Convenio, los gobiernos deberán: </w:t>
      </w:r>
    </w:p>
    <w:p w:rsidR="001771F9" w:rsidRDefault="001771F9" w:rsidP="00174E57">
      <w:pPr>
        <w:pStyle w:val="Sinespaciado"/>
        <w:ind w:left="142"/>
        <w:jc w:val="both"/>
      </w:pPr>
      <w:r w:rsidRPr="00DA1E5C">
        <w:rPr>
          <w:rFonts w:ascii="Arial" w:hAnsi="Arial" w:cs="Arial"/>
          <w:sz w:val="20"/>
          <w:szCs w:val="20"/>
        </w:rPr>
        <w:t>a)</w:t>
      </w:r>
      <w:r w:rsidRPr="00E631B0">
        <w:rPr>
          <w:rFonts w:ascii="Arial" w:hAnsi="Arial" w:cs="Arial"/>
          <w:sz w:val="20"/>
          <w:szCs w:val="20"/>
        </w:rPr>
        <w:t xml:space="preserve"> consultar a los pueblos </w:t>
      </w:r>
      <w:r w:rsidRPr="00DA1E5C">
        <w:rPr>
          <w:rFonts w:ascii="Arial" w:hAnsi="Arial" w:cs="Arial"/>
          <w:sz w:val="20"/>
          <w:szCs w:val="20"/>
        </w:rPr>
        <w:t>interesados</w:t>
      </w:r>
      <w:r w:rsidRPr="00E631B0">
        <w:rPr>
          <w:rFonts w:ascii="Arial" w:hAnsi="Arial" w:cs="Arial"/>
          <w:sz w:val="20"/>
          <w:szCs w:val="20"/>
        </w:rPr>
        <w:t xml:space="preserve">, mediante procedimientos apropiados y en particular a través de sus instituciones representativas, cada vez que se prevean medidas legislativas o administrativas susceptibles de afectarles </w:t>
      </w:r>
      <w:r w:rsidRPr="00DA1E5C">
        <w:rPr>
          <w:rFonts w:ascii="Arial" w:hAnsi="Arial" w:cs="Arial"/>
          <w:sz w:val="20"/>
          <w:szCs w:val="20"/>
        </w:rPr>
        <w:t>directamente</w:t>
      </w:r>
      <w:r w:rsidRPr="00E631B0">
        <w:rPr>
          <w:rFonts w:ascii="Arial" w:hAnsi="Arial" w:cs="Arial"/>
          <w:sz w:val="20"/>
          <w:szCs w:val="20"/>
        </w:rPr>
        <w:t>;</w:t>
      </w:r>
    </w:p>
    <w:p w:rsidR="001771F9" w:rsidRPr="00DA1E5C" w:rsidRDefault="001771F9" w:rsidP="00174E57">
      <w:pPr>
        <w:pStyle w:val="Sinespaciado"/>
        <w:ind w:left="142"/>
        <w:jc w:val="both"/>
        <w:rPr>
          <w:rFonts w:ascii="Arial" w:hAnsi="Arial" w:cs="Arial"/>
          <w:sz w:val="20"/>
          <w:szCs w:val="20"/>
        </w:rPr>
      </w:pPr>
      <w:r w:rsidRPr="00DA1E5C">
        <w:rPr>
          <w:rFonts w:ascii="Arial" w:hAnsi="Arial" w:cs="Arial"/>
          <w:sz w:val="20"/>
          <w:szCs w:val="20"/>
        </w:rPr>
        <w:t>b) es</w:t>
      </w:r>
      <w:r>
        <w:rPr>
          <w:rFonts w:ascii="Arial" w:hAnsi="Arial" w:cs="Arial"/>
          <w:sz w:val="20"/>
          <w:szCs w:val="20"/>
        </w:rPr>
        <w:t xml:space="preserve">tablecer los medios a través de </w:t>
      </w:r>
      <w:r w:rsidRPr="00DA1E5C">
        <w:rPr>
          <w:rFonts w:ascii="Arial" w:hAnsi="Arial" w:cs="Arial"/>
          <w:sz w:val="20"/>
          <w:szCs w:val="20"/>
        </w:rPr>
        <w:t>los</w:t>
      </w:r>
      <w:r>
        <w:rPr>
          <w:rFonts w:ascii="Arial" w:hAnsi="Arial" w:cs="Arial"/>
          <w:sz w:val="20"/>
          <w:szCs w:val="20"/>
        </w:rPr>
        <w:t xml:space="preserve"> cuales los pueblos interesados </w:t>
      </w:r>
      <w:r w:rsidRPr="00DA1E5C">
        <w:rPr>
          <w:rFonts w:ascii="Arial" w:hAnsi="Arial" w:cs="Arial"/>
          <w:sz w:val="20"/>
          <w:szCs w:val="20"/>
        </w:rPr>
        <w:t>puedan participar libremente, por</w:t>
      </w:r>
      <w:r>
        <w:rPr>
          <w:rFonts w:ascii="Arial" w:hAnsi="Arial" w:cs="Arial"/>
          <w:sz w:val="20"/>
          <w:szCs w:val="20"/>
        </w:rPr>
        <w:t xml:space="preserve"> lo menos en la misma medida que </w:t>
      </w:r>
      <w:r w:rsidRPr="00DA1E5C">
        <w:rPr>
          <w:rFonts w:ascii="Arial" w:hAnsi="Arial" w:cs="Arial"/>
          <w:sz w:val="20"/>
          <w:szCs w:val="20"/>
        </w:rPr>
        <w:t>otro</w:t>
      </w:r>
      <w:r>
        <w:rPr>
          <w:rFonts w:ascii="Arial" w:hAnsi="Arial" w:cs="Arial"/>
          <w:sz w:val="20"/>
          <w:szCs w:val="20"/>
        </w:rPr>
        <w:t xml:space="preserve">s sectores de la población, y a </w:t>
      </w:r>
      <w:r w:rsidRPr="00DA1E5C">
        <w:rPr>
          <w:rFonts w:ascii="Arial" w:hAnsi="Arial" w:cs="Arial"/>
          <w:sz w:val="20"/>
          <w:szCs w:val="20"/>
        </w:rPr>
        <w:t>todo</w:t>
      </w:r>
      <w:r>
        <w:rPr>
          <w:rFonts w:ascii="Arial" w:hAnsi="Arial" w:cs="Arial"/>
          <w:sz w:val="20"/>
          <w:szCs w:val="20"/>
        </w:rPr>
        <w:t xml:space="preserve">s los niveles en la adopción de </w:t>
      </w:r>
      <w:r w:rsidRPr="00DA1E5C">
        <w:rPr>
          <w:rFonts w:ascii="Arial" w:hAnsi="Arial" w:cs="Arial"/>
          <w:sz w:val="20"/>
          <w:szCs w:val="20"/>
        </w:rPr>
        <w:t>decisi</w:t>
      </w:r>
      <w:r>
        <w:rPr>
          <w:rFonts w:ascii="Arial" w:hAnsi="Arial" w:cs="Arial"/>
          <w:sz w:val="20"/>
          <w:szCs w:val="20"/>
        </w:rPr>
        <w:t xml:space="preserve">ones en instituciones electivas </w:t>
      </w:r>
      <w:r w:rsidRPr="00DA1E5C">
        <w:rPr>
          <w:rFonts w:ascii="Arial" w:hAnsi="Arial" w:cs="Arial"/>
          <w:sz w:val="20"/>
          <w:szCs w:val="20"/>
        </w:rPr>
        <w:t xml:space="preserve">y </w:t>
      </w:r>
      <w:r>
        <w:rPr>
          <w:rFonts w:ascii="Arial" w:hAnsi="Arial" w:cs="Arial"/>
          <w:sz w:val="20"/>
          <w:szCs w:val="20"/>
        </w:rPr>
        <w:t xml:space="preserve">organismos administrativos y de </w:t>
      </w:r>
      <w:r w:rsidRPr="00DA1E5C">
        <w:rPr>
          <w:rFonts w:ascii="Arial" w:hAnsi="Arial" w:cs="Arial"/>
          <w:sz w:val="20"/>
          <w:szCs w:val="20"/>
        </w:rPr>
        <w:t>otra í</w:t>
      </w:r>
      <w:r>
        <w:rPr>
          <w:rFonts w:ascii="Arial" w:hAnsi="Arial" w:cs="Arial"/>
          <w:sz w:val="20"/>
          <w:szCs w:val="20"/>
        </w:rPr>
        <w:t xml:space="preserve">ndole responsables de políticas </w:t>
      </w:r>
      <w:r w:rsidRPr="00DA1E5C">
        <w:rPr>
          <w:rFonts w:ascii="Arial" w:hAnsi="Arial" w:cs="Arial"/>
          <w:sz w:val="20"/>
          <w:szCs w:val="20"/>
        </w:rPr>
        <w:t>y programas que les conciernan;</w:t>
      </w:r>
    </w:p>
    <w:p w:rsidR="001771F9" w:rsidRPr="00545595" w:rsidRDefault="001771F9" w:rsidP="00174E57">
      <w:pPr>
        <w:pStyle w:val="Sinespaciado"/>
        <w:ind w:left="142"/>
        <w:jc w:val="both"/>
        <w:rPr>
          <w:rFonts w:ascii="Arial" w:hAnsi="Arial" w:cs="Arial"/>
          <w:sz w:val="20"/>
          <w:szCs w:val="20"/>
        </w:rPr>
      </w:pPr>
      <w:r w:rsidRPr="00DA1E5C">
        <w:rPr>
          <w:rFonts w:ascii="Arial" w:hAnsi="Arial" w:cs="Arial"/>
          <w:sz w:val="20"/>
          <w:szCs w:val="20"/>
        </w:rPr>
        <w:t>c) esta</w:t>
      </w:r>
      <w:r>
        <w:rPr>
          <w:rFonts w:ascii="Arial" w:hAnsi="Arial" w:cs="Arial"/>
          <w:sz w:val="20"/>
          <w:szCs w:val="20"/>
        </w:rPr>
        <w:t xml:space="preserve">blecer los medios para el pleno </w:t>
      </w:r>
      <w:r w:rsidRPr="00DA1E5C">
        <w:rPr>
          <w:rFonts w:ascii="Arial" w:hAnsi="Arial" w:cs="Arial"/>
          <w:sz w:val="20"/>
          <w:szCs w:val="20"/>
        </w:rPr>
        <w:t>de</w:t>
      </w:r>
      <w:r>
        <w:rPr>
          <w:rFonts w:ascii="Arial" w:hAnsi="Arial" w:cs="Arial"/>
          <w:sz w:val="20"/>
          <w:szCs w:val="20"/>
        </w:rPr>
        <w:t xml:space="preserve">sarrollo de las instituciones e </w:t>
      </w:r>
      <w:r w:rsidRPr="00DA1E5C">
        <w:rPr>
          <w:rFonts w:ascii="Arial" w:hAnsi="Arial" w:cs="Arial"/>
          <w:sz w:val="20"/>
          <w:szCs w:val="20"/>
        </w:rPr>
        <w:t>inicia</w:t>
      </w:r>
      <w:r>
        <w:rPr>
          <w:rFonts w:ascii="Arial" w:hAnsi="Arial" w:cs="Arial"/>
          <w:sz w:val="20"/>
          <w:szCs w:val="20"/>
        </w:rPr>
        <w:t xml:space="preserve">tivas de esos pueblos, y en los </w:t>
      </w:r>
      <w:r w:rsidRPr="00DA1E5C">
        <w:rPr>
          <w:rFonts w:ascii="Arial" w:hAnsi="Arial" w:cs="Arial"/>
          <w:sz w:val="20"/>
          <w:szCs w:val="20"/>
        </w:rPr>
        <w:t>casos apropiados proporcionar los</w:t>
      </w:r>
      <w:r>
        <w:rPr>
          <w:rFonts w:ascii="Arial" w:hAnsi="Arial" w:cs="Arial"/>
          <w:sz w:val="20"/>
          <w:szCs w:val="20"/>
        </w:rPr>
        <w:t xml:space="preserve"> </w:t>
      </w:r>
      <w:r w:rsidRPr="00545595">
        <w:rPr>
          <w:rFonts w:ascii="Arial" w:hAnsi="Arial" w:cs="Arial"/>
          <w:sz w:val="20"/>
          <w:szCs w:val="20"/>
        </w:rPr>
        <w:t>recursos necesarios para este fin.</w:t>
      </w:r>
    </w:p>
    <w:p w:rsidR="001771F9" w:rsidRDefault="001771F9" w:rsidP="00174E57">
      <w:pPr>
        <w:pStyle w:val="Sinespaciado"/>
        <w:jc w:val="both"/>
        <w:rPr>
          <w:rFonts w:ascii="Arial" w:hAnsi="Arial" w:cs="Arial"/>
          <w:sz w:val="20"/>
          <w:szCs w:val="20"/>
        </w:rPr>
      </w:pPr>
      <w:r w:rsidRPr="00545595">
        <w:rPr>
          <w:rFonts w:ascii="Arial" w:hAnsi="Arial" w:cs="Arial"/>
          <w:sz w:val="20"/>
          <w:szCs w:val="20"/>
        </w:rPr>
        <w:t>2. L</w:t>
      </w:r>
      <w:r>
        <w:rPr>
          <w:rFonts w:ascii="Arial" w:hAnsi="Arial" w:cs="Arial"/>
          <w:sz w:val="20"/>
          <w:szCs w:val="20"/>
        </w:rPr>
        <w:t xml:space="preserve">as consultas llevadas a cabo en </w:t>
      </w:r>
      <w:r w:rsidRPr="00545595">
        <w:rPr>
          <w:rFonts w:ascii="Arial" w:hAnsi="Arial" w:cs="Arial"/>
          <w:sz w:val="20"/>
          <w:szCs w:val="20"/>
        </w:rPr>
        <w:t>apli</w:t>
      </w:r>
      <w:r>
        <w:rPr>
          <w:rFonts w:ascii="Arial" w:hAnsi="Arial" w:cs="Arial"/>
          <w:sz w:val="20"/>
          <w:szCs w:val="20"/>
        </w:rPr>
        <w:t xml:space="preserve">cación de este Convenio deberán </w:t>
      </w:r>
      <w:r w:rsidRPr="00545595">
        <w:rPr>
          <w:rFonts w:ascii="Arial" w:hAnsi="Arial" w:cs="Arial"/>
          <w:sz w:val="20"/>
          <w:szCs w:val="20"/>
        </w:rPr>
        <w:t xml:space="preserve">efectuarse de buena fe y </w:t>
      </w:r>
      <w:r>
        <w:rPr>
          <w:rFonts w:ascii="Arial" w:hAnsi="Arial" w:cs="Arial"/>
          <w:sz w:val="20"/>
          <w:szCs w:val="20"/>
        </w:rPr>
        <w:t xml:space="preserve">de una manera </w:t>
      </w:r>
      <w:r w:rsidRPr="00545595">
        <w:rPr>
          <w:rFonts w:ascii="Arial" w:hAnsi="Arial" w:cs="Arial"/>
          <w:sz w:val="20"/>
          <w:szCs w:val="20"/>
        </w:rPr>
        <w:t>apropia</w:t>
      </w:r>
      <w:r>
        <w:rPr>
          <w:rFonts w:ascii="Arial" w:hAnsi="Arial" w:cs="Arial"/>
          <w:sz w:val="20"/>
          <w:szCs w:val="20"/>
        </w:rPr>
        <w:t xml:space="preserve">da a las circunstancias, con la </w:t>
      </w:r>
      <w:r w:rsidRPr="00545595">
        <w:rPr>
          <w:rFonts w:ascii="Arial" w:hAnsi="Arial" w:cs="Arial"/>
          <w:sz w:val="20"/>
          <w:szCs w:val="20"/>
        </w:rPr>
        <w:t>finalidad de llegar a un acuerdo o lograr</w:t>
      </w:r>
      <w:r>
        <w:rPr>
          <w:rFonts w:ascii="Arial" w:hAnsi="Arial" w:cs="Arial"/>
          <w:sz w:val="20"/>
          <w:szCs w:val="20"/>
        </w:rPr>
        <w:t xml:space="preserve"> </w:t>
      </w:r>
      <w:r w:rsidRPr="00174E57">
        <w:rPr>
          <w:rFonts w:ascii="Arial" w:hAnsi="Arial" w:cs="Arial"/>
          <w:sz w:val="20"/>
          <w:szCs w:val="20"/>
        </w:rPr>
        <w:t>el conse</w:t>
      </w:r>
      <w:r>
        <w:rPr>
          <w:rFonts w:ascii="Arial" w:hAnsi="Arial" w:cs="Arial"/>
          <w:sz w:val="20"/>
          <w:szCs w:val="20"/>
        </w:rPr>
        <w:t xml:space="preserve">ntimiento acerca de las medidas </w:t>
      </w:r>
      <w:r w:rsidRPr="00174E57">
        <w:rPr>
          <w:rFonts w:ascii="Arial" w:hAnsi="Arial" w:cs="Arial"/>
          <w:sz w:val="20"/>
          <w:szCs w:val="20"/>
        </w:rPr>
        <w:t>propuestas.</w:t>
      </w:r>
    </w:p>
    <w:p w:rsidR="001771F9" w:rsidRDefault="001771F9" w:rsidP="0097342F">
      <w:pPr>
        <w:pStyle w:val="Sinespaciado"/>
        <w:jc w:val="both"/>
        <w:rPr>
          <w:rFonts w:ascii="Arial" w:hAnsi="Arial" w:cs="Arial"/>
          <w:b/>
          <w:sz w:val="20"/>
          <w:szCs w:val="20"/>
        </w:rPr>
      </w:pPr>
      <w:r>
        <w:rPr>
          <w:rFonts w:ascii="Arial" w:hAnsi="Arial" w:cs="Arial"/>
          <w:b/>
          <w:sz w:val="20"/>
          <w:szCs w:val="20"/>
        </w:rPr>
        <w:t>Artículo 7</w:t>
      </w:r>
      <w:r w:rsidRPr="00E631B0">
        <w:rPr>
          <w:rFonts w:ascii="Arial" w:hAnsi="Arial" w:cs="Arial"/>
          <w:b/>
          <w:sz w:val="20"/>
          <w:szCs w:val="20"/>
        </w:rPr>
        <w:t>.</w:t>
      </w:r>
      <w:r>
        <w:rPr>
          <w:rFonts w:ascii="Arial" w:hAnsi="Arial" w:cs="Arial"/>
          <w:b/>
          <w:sz w:val="20"/>
          <w:szCs w:val="20"/>
        </w:rPr>
        <w:t xml:space="preserve"> </w:t>
      </w:r>
    </w:p>
    <w:p w:rsidR="001771F9" w:rsidRDefault="001771F9" w:rsidP="0097342F">
      <w:pPr>
        <w:pStyle w:val="Sinespaciado"/>
        <w:jc w:val="both"/>
        <w:rPr>
          <w:rFonts w:ascii="Arial" w:hAnsi="Arial" w:cs="Arial"/>
          <w:sz w:val="20"/>
          <w:szCs w:val="20"/>
        </w:rPr>
      </w:pPr>
      <w:r w:rsidRPr="0097342F">
        <w:rPr>
          <w:rFonts w:ascii="Arial" w:hAnsi="Arial" w:cs="Arial"/>
          <w:sz w:val="20"/>
          <w:szCs w:val="20"/>
        </w:rPr>
        <w:t xml:space="preserve">1. </w:t>
      </w:r>
      <w:r>
        <w:rPr>
          <w:rFonts w:ascii="Arial" w:hAnsi="Arial" w:cs="Arial"/>
          <w:sz w:val="20"/>
          <w:szCs w:val="20"/>
        </w:rPr>
        <w:t xml:space="preserve">Los pueblos interesados deberán </w:t>
      </w:r>
      <w:r w:rsidRPr="0097342F">
        <w:rPr>
          <w:rFonts w:ascii="Arial" w:hAnsi="Arial" w:cs="Arial"/>
          <w:sz w:val="20"/>
          <w:szCs w:val="20"/>
        </w:rPr>
        <w:t>tener el</w:t>
      </w:r>
      <w:r>
        <w:rPr>
          <w:rFonts w:ascii="Arial" w:hAnsi="Arial" w:cs="Arial"/>
          <w:sz w:val="20"/>
          <w:szCs w:val="20"/>
        </w:rPr>
        <w:t xml:space="preserve"> derecho de decidir sus propias prioridades en lo que atañe al proceso </w:t>
      </w:r>
      <w:r w:rsidRPr="0097342F">
        <w:rPr>
          <w:rFonts w:ascii="Arial" w:hAnsi="Arial" w:cs="Arial"/>
          <w:sz w:val="20"/>
          <w:szCs w:val="20"/>
        </w:rPr>
        <w:t xml:space="preserve">de </w:t>
      </w:r>
      <w:r>
        <w:rPr>
          <w:rFonts w:ascii="Arial" w:hAnsi="Arial" w:cs="Arial"/>
          <w:sz w:val="20"/>
          <w:szCs w:val="20"/>
        </w:rPr>
        <w:t xml:space="preserve">desarrollo, en la medida en que </w:t>
      </w:r>
      <w:r w:rsidRPr="0097342F">
        <w:rPr>
          <w:rFonts w:ascii="Arial" w:hAnsi="Arial" w:cs="Arial"/>
          <w:sz w:val="20"/>
          <w:szCs w:val="20"/>
        </w:rPr>
        <w:t>éste</w:t>
      </w:r>
      <w:r>
        <w:rPr>
          <w:rFonts w:ascii="Arial" w:hAnsi="Arial" w:cs="Arial"/>
          <w:sz w:val="20"/>
          <w:szCs w:val="20"/>
        </w:rPr>
        <w:t xml:space="preserve"> afecte a sus vidas, creencias, </w:t>
      </w:r>
      <w:r w:rsidRPr="0097342F">
        <w:rPr>
          <w:rFonts w:ascii="Arial" w:hAnsi="Arial" w:cs="Arial"/>
          <w:sz w:val="20"/>
          <w:szCs w:val="20"/>
        </w:rPr>
        <w:t>instituciones</w:t>
      </w:r>
      <w:r>
        <w:rPr>
          <w:rFonts w:ascii="Arial" w:hAnsi="Arial" w:cs="Arial"/>
          <w:sz w:val="20"/>
          <w:szCs w:val="20"/>
        </w:rPr>
        <w:t xml:space="preserve"> y bienestar espiritual y a las </w:t>
      </w:r>
      <w:r w:rsidRPr="0097342F">
        <w:rPr>
          <w:rFonts w:ascii="Arial" w:hAnsi="Arial" w:cs="Arial"/>
          <w:sz w:val="20"/>
          <w:szCs w:val="20"/>
        </w:rPr>
        <w:t xml:space="preserve">tierras </w:t>
      </w:r>
      <w:r>
        <w:rPr>
          <w:rFonts w:ascii="Arial" w:hAnsi="Arial" w:cs="Arial"/>
          <w:sz w:val="20"/>
          <w:szCs w:val="20"/>
        </w:rPr>
        <w:t xml:space="preserve">que ocupan o utilizan de alguna manera, y de </w:t>
      </w:r>
      <w:r w:rsidRPr="0097342F">
        <w:rPr>
          <w:rFonts w:ascii="Arial" w:hAnsi="Arial" w:cs="Arial"/>
          <w:sz w:val="20"/>
          <w:szCs w:val="20"/>
        </w:rPr>
        <w:t xml:space="preserve">controlar, en </w:t>
      </w:r>
      <w:r>
        <w:rPr>
          <w:rFonts w:ascii="Arial" w:hAnsi="Arial" w:cs="Arial"/>
          <w:sz w:val="20"/>
          <w:szCs w:val="20"/>
        </w:rPr>
        <w:t xml:space="preserve">la medida de lo </w:t>
      </w:r>
      <w:r w:rsidRPr="0097342F">
        <w:rPr>
          <w:rFonts w:ascii="Arial" w:hAnsi="Arial" w:cs="Arial"/>
          <w:sz w:val="20"/>
          <w:szCs w:val="20"/>
        </w:rPr>
        <w:t xml:space="preserve">posible, </w:t>
      </w:r>
      <w:r>
        <w:rPr>
          <w:rFonts w:ascii="Arial" w:hAnsi="Arial" w:cs="Arial"/>
          <w:sz w:val="20"/>
          <w:szCs w:val="20"/>
        </w:rPr>
        <w:t xml:space="preserve">su propio desarrollo económico, social y cultural. Además, dichos pueblos </w:t>
      </w:r>
      <w:r w:rsidRPr="0097342F">
        <w:rPr>
          <w:rFonts w:ascii="Arial" w:hAnsi="Arial" w:cs="Arial"/>
          <w:sz w:val="20"/>
          <w:szCs w:val="20"/>
        </w:rPr>
        <w:t>deberá</w:t>
      </w:r>
      <w:r>
        <w:rPr>
          <w:rFonts w:ascii="Arial" w:hAnsi="Arial" w:cs="Arial"/>
          <w:sz w:val="20"/>
          <w:szCs w:val="20"/>
        </w:rPr>
        <w:t xml:space="preserve">n participar en la formulación, </w:t>
      </w:r>
      <w:r w:rsidRPr="0097342F">
        <w:rPr>
          <w:rFonts w:ascii="Arial" w:hAnsi="Arial" w:cs="Arial"/>
          <w:sz w:val="20"/>
          <w:szCs w:val="20"/>
        </w:rPr>
        <w:t>aplica</w:t>
      </w:r>
      <w:r>
        <w:rPr>
          <w:rFonts w:ascii="Arial" w:hAnsi="Arial" w:cs="Arial"/>
          <w:sz w:val="20"/>
          <w:szCs w:val="20"/>
        </w:rPr>
        <w:t xml:space="preserve">ción y evaluación de los planes </w:t>
      </w:r>
      <w:r w:rsidRPr="0097342F">
        <w:rPr>
          <w:rFonts w:ascii="Arial" w:hAnsi="Arial" w:cs="Arial"/>
          <w:sz w:val="20"/>
          <w:szCs w:val="20"/>
        </w:rPr>
        <w:t>y programas de desarrollo nacional y regional susceptibles de afectarles directamente.</w:t>
      </w:r>
    </w:p>
    <w:p w:rsidR="001771F9" w:rsidRDefault="001771F9" w:rsidP="00EB1B57">
      <w:pPr>
        <w:pStyle w:val="Sinespaciado"/>
        <w:jc w:val="both"/>
        <w:rPr>
          <w:rFonts w:ascii="Arial" w:hAnsi="Arial" w:cs="Arial"/>
          <w:sz w:val="20"/>
          <w:szCs w:val="20"/>
        </w:rPr>
      </w:pPr>
      <w:r>
        <w:rPr>
          <w:rFonts w:ascii="Arial" w:hAnsi="Arial" w:cs="Arial"/>
          <w:sz w:val="20"/>
          <w:szCs w:val="20"/>
        </w:rPr>
        <w:t>2.</w:t>
      </w:r>
      <w:r w:rsidRPr="00EB1B57">
        <w:t xml:space="preserve"> </w:t>
      </w:r>
      <w:r w:rsidRPr="00EB1B57">
        <w:rPr>
          <w:rFonts w:ascii="Arial" w:hAnsi="Arial" w:cs="Arial"/>
          <w:sz w:val="20"/>
          <w:szCs w:val="20"/>
        </w:rPr>
        <w:t>El mej</w:t>
      </w:r>
      <w:r>
        <w:rPr>
          <w:rFonts w:ascii="Arial" w:hAnsi="Arial" w:cs="Arial"/>
          <w:sz w:val="20"/>
          <w:szCs w:val="20"/>
        </w:rPr>
        <w:t xml:space="preserve">oramiento de las condiciones de </w:t>
      </w:r>
      <w:r w:rsidRPr="00EB1B57">
        <w:rPr>
          <w:rFonts w:ascii="Arial" w:hAnsi="Arial" w:cs="Arial"/>
          <w:sz w:val="20"/>
          <w:szCs w:val="20"/>
        </w:rPr>
        <w:t>vida y de</w:t>
      </w:r>
      <w:r>
        <w:rPr>
          <w:rFonts w:ascii="Arial" w:hAnsi="Arial" w:cs="Arial"/>
          <w:sz w:val="20"/>
          <w:szCs w:val="20"/>
        </w:rPr>
        <w:t xml:space="preserve"> trabajo y del nivel de salud y </w:t>
      </w:r>
      <w:r w:rsidRPr="00EB1B57">
        <w:rPr>
          <w:rFonts w:ascii="Arial" w:hAnsi="Arial" w:cs="Arial"/>
          <w:sz w:val="20"/>
          <w:szCs w:val="20"/>
        </w:rPr>
        <w:t xml:space="preserve">educación </w:t>
      </w:r>
      <w:r>
        <w:rPr>
          <w:rFonts w:ascii="Arial" w:hAnsi="Arial" w:cs="Arial"/>
          <w:sz w:val="20"/>
          <w:szCs w:val="20"/>
        </w:rPr>
        <w:t xml:space="preserve">de los pueblos interesados, con </w:t>
      </w:r>
      <w:r w:rsidRPr="00EB1B57">
        <w:rPr>
          <w:rFonts w:ascii="Arial" w:hAnsi="Arial" w:cs="Arial"/>
          <w:sz w:val="20"/>
          <w:szCs w:val="20"/>
        </w:rPr>
        <w:t>su part</w:t>
      </w:r>
      <w:r>
        <w:rPr>
          <w:rFonts w:ascii="Arial" w:hAnsi="Arial" w:cs="Arial"/>
          <w:sz w:val="20"/>
          <w:szCs w:val="20"/>
        </w:rPr>
        <w:t xml:space="preserve">icipación y cooperación, deberá </w:t>
      </w:r>
      <w:r w:rsidRPr="00EB1B57">
        <w:rPr>
          <w:rFonts w:ascii="Arial" w:hAnsi="Arial" w:cs="Arial"/>
          <w:sz w:val="20"/>
          <w:szCs w:val="20"/>
        </w:rPr>
        <w:t>s</w:t>
      </w:r>
      <w:r>
        <w:rPr>
          <w:rFonts w:ascii="Arial" w:hAnsi="Arial" w:cs="Arial"/>
          <w:sz w:val="20"/>
          <w:szCs w:val="20"/>
        </w:rPr>
        <w:t xml:space="preserve">er prioritario en los planes de desarrollo </w:t>
      </w:r>
      <w:r w:rsidRPr="00EB1B57">
        <w:rPr>
          <w:rFonts w:ascii="Arial" w:hAnsi="Arial" w:cs="Arial"/>
          <w:sz w:val="20"/>
          <w:szCs w:val="20"/>
        </w:rPr>
        <w:t>económi</w:t>
      </w:r>
      <w:r>
        <w:rPr>
          <w:rFonts w:ascii="Arial" w:hAnsi="Arial" w:cs="Arial"/>
          <w:sz w:val="20"/>
          <w:szCs w:val="20"/>
        </w:rPr>
        <w:t xml:space="preserve">co global de las regiones donde </w:t>
      </w:r>
      <w:r w:rsidRPr="00EB1B57">
        <w:rPr>
          <w:rFonts w:ascii="Arial" w:hAnsi="Arial" w:cs="Arial"/>
          <w:sz w:val="20"/>
          <w:szCs w:val="20"/>
        </w:rPr>
        <w:t>habitan. Lo</w:t>
      </w:r>
      <w:r>
        <w:rPr>
          <w:rFonts w:ascii="Arial" w:hAnsi="Arial" w:cs="Arial"/>
          <w:sz w:val="20"/>
          <w:szCs w:val="20"/>
        </w:rPr>
        <w:t xml:space="preserve">s proyectos especiales de </w:t>
      </w:r>
      <w:r w:rsidRPr="00EB1B57">
        <w:rPr>
          <w:rFonts w:ascii="Arial" w:hAnsi="Arial" w:cs="Arial"/>
          <w:sz w:val="20"/>
          <w:szCs w:val="20"/>
        </w:rPr>
        <w:t>desarro</w:t>
      </w:r>
      <w:r>
        <w:rPr>
          <w:rFonts w:ascii="Arial" w:hAnsi="Arial" w:cs="Arial"/>
          <w:sz w:val="20"/>
          <w:szCs w:val="20"/>
        </w:rPr>
        <w:t>llo para estas regiones deberán también elaborarse de modo que promuevan dicho mejoramiento.</w:t>
      </w:r>
    </w:p>
    <w:p w:rsidR="001771F9" w:rsidRDefault="001771F9" w:rsidP="00351E69">
      <w:pPr>
        <w:pStyle w:val="Sinespaciado"/>
        <w:jc w:val="both"/>
        <w:rPr>
          <w:rFonts w:ascii="Arial" w:hAnsi="Arial" w:cs="Arial"/>
          <w:sz w:val="20"/>
          <w:szCs w:val="20"/>
        </w:rPr>
      </w:pPr>
      <w:r>
        <w:rPr>
          <w:rFonts w:ascii="Arial" w:hAnsi="Arial" w:cs="Arial"/>
          <w:sz w:val="20"/>
          <w:szCs w:val="20"/>
        </w:rPr>
        <w:t>3.</w:t>
      </w:r>
      <w:r w:rsidRPr="00351E69">
        <w:rPr>
          <w:rFonts w:ascii="DIN-Light" w:hAnsi="DIN-Light" w:cs="DIN-Light"/>
          <w:sz w:val="19"/>
          <w:szCs w:val="19"/>
        </w:rPr>
        <w:t xml:space="preserve"> </w:t>
      </w:r>
      <w:r w:rsidRPr="00351E69">
        <w:rPr>
          <w:rFonts w:ascii="Arial" w:hAnsi="Arial" w:cs="Arial"/>
          <w:sz w:val="20"/>
          <w:szCs w:val="20"/>
        </w:rPr>
        <w:t>Los g</w:t>
      </w:r>
      <w:r>
        <w:rPr>
          <w:rFonts w:ascii="Arial" w:hAnsi="Arial" w:cs="Arial"/>
          <w:sz w:val="20"/>
          <w:szCs w:val="20"/>
        </w:rPr>
        <w:t xml:space="preserve">obiernos deberán velar por que, </w:t>
      </w:r>
      <w:r w:rsidRPr="00351E69">
        <w:rPr>
          <w:rFonts w:ascii="Arial" w:hAnsi="Arial" w:cs="Arial"/>
          <w:sz w:val="20"/>
          <w:szCs w:val="20"/>
        </w:rPr>
        <w:t>siem</w:t>
      </w:r>
      <w:r>
        <w:rPr>
          <w:rFonts w:ascii="Arial" w:hAnsi="Arial" w:cs="Arial"/>
          <w:sz w:val="20"/>
          <w:szCs w:val="20"/>
        </w:rPr>
        <w:t xml:space="preserve">pre que haya lugar, se efectúen estudios, en cooperación con los pueblos </w:t>
      </w:r>
      <w:r w:rsidRPr="00351E69">
        <w:rPr>
          <w:rFonts w:ascii="Arial" w:hAnsi="Arial" w:cs="Arial"/>
          <w:sz w:val="20"/>
          <w:szCs w:val="20"/>
        </w:rPr>
        <w:t>interesados,</w:t>
      </w:r>
      <w:r>
        <w:rPr>
          <w:rFonts w:ascii="Arial" w:hAnsi="Arial" w:cs="Arial"/>
          <w:sz w:val="20"/>
          <w:szCs w:val="20"/>
        </w:rPr>
        <w:t xml:space="preserve"> a fin de evaluar la incidencia social, espiritual y cultural y sobre el </w:t>
      </w:r>
      <w:r w:rsidRPr="00351E69">
        <w:rPr>
          <w:rFonts w:ascii="Arial" w:hAnsi="Arial" w:cs="Arial"/>
          <w:sz w:val="20"/>
          <w:szCs w:val="20"/>
        </w:rPr>
        <w:t xml:space="preserve">medio </w:t>
      </w:r>
      <w:r>
        <w:rPr>
          <w:rFonts w:ascii="Arial" w:hAnsi="Arial" w:cs="Arial"/>
          <w:sz w:val="20"/>
          <w:szCs w:val="20"/>
        </w:rPr>
        <w:t xml:space="preserve">ambiente que las actividades de </w:t>
      </w:r>
      <w:r w:rsidRPr="00351E69">
        <w:rPr>
          <w:rFonts w:ascii="Arial" w:hAnsi="Arial" w:cs="Arial"/>
          <w:sz w:val="20"/>
          <w:szCs w:val="20"/>
        </w:rPr>
        <w:t>desarrollo prevista</w:t>
      </w:r>
      <w:r>
        <w:rPr>
          <w:rFonts w:ascii="Arial" w:hAnsi="Arial" w:cs="Arial"/>
          <w:sz w:val="20"/>
          <w:szCs w:val="20"/>
        </w:rPr>
        <w:t xml:space="preserve">s puedan tener sobre esos </w:t>
      </w:r>
      <w:r w:rsidRPr="00351E69">
        <w:rPr>
          <w:rFonts w:ascii="Arial" w:hAnsi="Arial" w:cs="Arial"/>
          <w:sz w:val="20"/>
          <w:szCs w:val="20"/>
        </w:rPr>
        <w:t>pueblos. Los resultados de estos</w:t>
      </w:r>
      <w:r>
        <w:rPr>
          <w:rFonts w:ascii="Arial" w:hAnsi="Arial" w:cs="Arial"/>
          <w:sz w:val="20"/>
          <w:szCs w:val="20"/>
        </w:rPr>
        <w:t xml:space="preserve"> </w:t>
      </w:r>
      <w:r w:rsidRPr="00351E69">
        <w:rPr>
          <w:rFonts w:ascii="Arial" w:hAnsi="Arial" w:cs="Arial"/>
          <w:sz w:val="20"/>
          <w:szCs w:val="20"/>
        </w:rPr>
        <w:t>estudio</w:t>
      </w:r>
      <w:r>
        <w:rPr>
          <w:rFonts w:ascii="Arial" w:hAnsi="Arial" w:cs="Arial"/>
          <w:sz w:val="20"/>
          <w:szCs w:val="20"/>
        </w:rPr>
        <w:t xml:space="preserve">s deberán ser considerados como criterios fundamentales para la ejecución </w:t>
      </w:r>
      <w:r w:rsidRPr="00351E69">
        <w:rPr>
          <w:rFonts w:ascii="Arial" w:hAnsi="Arial" w:cs="Arial"/>
          <w:sz w:val="20"/>
          <w:szCs w:val="20"/>
        </w:rPr>
        <w:t>de las actividades mencionadas.</w:t>
      </w:r>
    </w:p>
    <w:p w:rsidR="001771F9" w:rsidRPr="0097342F" w:rsidRDefault="001771F9" w:rsidP="00351E69">
      <w:pPr>
        <w:pStyle w:val="Sinespaciado"/>
        <w:jc w:val="both"/>
        <w:rPr>
          <w:rFonts w:ascii="Arial" w:hAnsi="Arial" w:cs="Arial"/>
          <w:sz w:val="20"/>
          <w:szCs w:val="20"/>
        </w:rPr>
      </w:pPr>
      <w:r>
        <w:rPr>
          <w:rFonts w:ascii="Arial" w:hAnsi="Arial" w:cs="Arial"/>
          <w:sz w:val="20"/>
          <w:szCs w:val="20"/>
        </w:rPr>
        <w:t xml:space="preserve">4. </w:t>
      </w:r>
      <w:r w:rsidRPr="00351E69">
        <w:rPr>
          <w:rFonts w:ascii="Arial" w:hAnsi="Arial" w:cs="Arial"/>
          <w:sz w:val="20"/>
          <w:szCs w:val="20"/>
        </w:rPr>
        <w:t>Los g</w:t>
      </w:r>
      <w:r>
        <w:rPr>
          <w:rFonts w:ascii="Arial" w:hAnsi="Arial" w:cs="Arial"/>
          <w:sz w:val="20"/>
          <w:szCs w:val="20"/>
        </w:rPr>
        <w:t xml:space="preserve">obiernos deberán tomar medidas, </w:t>
      </w:r>
      <w:r w:rsidRPr="00351E69">
        <w:rPr>
          <w:rFonts w:ascii="Arial" w:hAnsi="Arial" w:cs="Arial"/>
          <w:sz w:val="20"/>
          <w:szCs w:val="20"/>
        </w:rPr>
        <w:t>en cooperación con los pu</w:t>
      </w:r>
      <w:r>
        <w:rPr>
          <w:rFonts w:ascii="Arial" w:hAnsi="Arial" w:cs="Arial"/>
          <w:sz w:val="20"/>
          <w:szCs w:val="20"/>
        </w:rPr>
        <w:t xml:space="preserve">eblos </w:t>
      </w:r>
      <w:r w:rsidRPr="00351E69">
        <w:rPr>
          <w:rFonts w:ascii="Arial" w:hAnsi="Arial" w:cs="Arial"/>
          <w:sz w:val="20"/>
          <w:szCs w:val="20"/>
        </w:rPr>
        <w:t>interes</w:t>
      </w:r>
      <w:r>
        <w:rPr>
          <w:rFonts w:ascii="Arial" w:hAnsi="Arial" w:cs="Arial"/>
          <w:sz w:val="20"/>
          <w:szCs w:val="20"/>
        </w:rPr>
        <w:t xml:space="preserve">ados, para proteger y preservar </w:t>
      </w:r>
      <w:r w:rsidRPr="00351E69">
        <w:rPr>
          <w:rFonts w:ascii="Arial" w:hAnsi="Arial" w:cs="Arial"/>
          <w:sz w:val="20"/>
          <w:szCs w:val="20"/>
        </w:rPr>
        <w:t xml:space="preserve">el medio </w:t>
      </w:r>
      <w:r>
        <w:rPr>
          <w:rFonts w:ascii="Arial" w:hAnsi="Arial" w:cs="Arial"/>
          <w:sz w:val="20"/>
          <w:szCs w:val="20"/>
        </w:rPr>
        <w:t xml:space="preserve">ambiente de los territorios que </w:t>
      </w:r>
      <w:r w:rsidRPr="00351E69">
        <w:rPr>
          <w:rFonts w:ascii="Arial" w:hAnsi="Arial" w:cs="Arial"/>
          <w:sz w:val="20"/>
          <w:szCs w:val="20"/>
        </w:rPr>
        <w:t>habitan.</w:t>
      </w:r>
    </w:p>
  </w:footnote>
  <w:footnote w:id="42">
    <w:p w:rsidR="001771F9" w:rsidRPr="00154C8E" w:rsidRDefault="001771F9" w:rsidP="00780E7C">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Véase el expediente de la acción de inconstitucionalidad </w:t>
      </w:r>
      <w:r>
        <w:rPr>
          <w:rFonts w:ascii="Arial" w:hAnsi="Arial" w:cs="Arial"/>
        </w:rPr>
        <w:t>201/2020</w:t>
      </w:r>
      <w:r w:rsidRPr="00154C8E">
        <w:rPr>
          <w:rFonts w:ascii="Arial" w:hAnsi="Arial" w:cs="Arial"/>
        </w:rPr>
        <w:t>, fojas</w:t>
      </w:r>
      <w:r>
        <w:rPr>
          <w:rFonts w:ascii="Arial" w:hAnsi="Arial" w:cs="Arial"/>
        </w:rPr>
        <w:t xml:space="preserve"> 4</w:t>
      </w:r>
      <w:r>
        <w:rPr>
          <w:rFonts w:ascii="Arial" w:hAnsi="Arial" w:cs="Arial"/>
          <w:color w:val="FF0000"/>
        </w:rPr>
        <w:t xml:space="preserve"> </w:t>
      </w:r>
      <w:r w:rsidRPr="00154C8E">
        <w:rPr>
          <w:rFonts w:ascii="Arial" w:hAnsi="Arial" w:cs="Arial"/>
        </w:rPr>
        <w:t>a</w:t>
      </w:r>
      <w:r>
        <w:rPr>
          <w:rFonts w:ascii="Arial" w:hAnsi="Arial" w:cs="Arial"/>
        </w:rPr>
        <w:t xml:space="preserve"> 20</w:t>
      </w:r>
      <w:r w:rsidRPr="00154C8E">
        <w:rPr>
          <w:rFonts w:ascii="Arial" w:hAnsi="Arial" w:cs="Arial"/>
        </w:rPr>
        <w:t>.</w:t>
      </w:r>
    </w:p>
  </w:footnote>
  <w:footnote w:id="43">
    <w:p w:rsidR="001771F9" w:rsidRDefault="001771F9" w:rsidP="00902329">
      <w:pPr>
        <w:pStyle w:val="Sinespaciado"/>
        <w:jc w:val="both"/>
        <w:rPr>
          <w:rFonts w:ascii="Arial" w:hAnsi="Arial" w:cs="Arial"/>
          <w:sz w:val="20"/>
          <w:szCs w:val="20"/>
        </w:rPr>
      </w:pPr>
      <w:r w:rsidRPr="00E631B0">
        <w:rPr>
          <w:rStyle w:val="Refdenotaalpie"/>
          <w:rFonts w:ascii="Arial" w:hAnsi="Arial" w:cs="Arial"/>
          <w:sz w:val="20"/>
          <w:szCs w:val="20"/>
        </w:rPr>
        <w:footnoteRef/>
      </w:r>
      <w:r w:rsidRPr="00E631B0">
        <w:rPr>
          <w:rFonts w:ascii="Arial" w:hAnsi="Arial" w:cs="Arial"/>
          <w:sz w:val="20"/>
          <w:szCs w:val="20"/>
        </w:rPr>
        <w:t xml:space="preserve"> </w:t>
      </w:r>
      <w:r w:rsidRPr="00E631B0">
        <w:rPr>
          <w:rFonts w:ascii="Arial" w:hAnsi="Arial" w:cs="Arial"/>
          <w:b/>
          <w:sz w:val="20"/>
          <w:szCs w:val="20"/>
        </w:rPr>
        <w:t>Artículo 4.</w:t>
      </w:r>
      <w:r>
        <w:rPr>
          <w:rFonts w:ascii="Arial" w:hAnsi="Arial" w:cs="Arial"/>
          <w:sz w:val="20"/>
          <w:szCs w:val="20"/>
        </w:rPr>
        <w:t xml:space="preserve"> Obligaciones generales</w:t>
      </w:r>
    </w:p>
    <w:p w:rsidR="001771F9" w:rsidRDefault="001771F9" w:rsidP="00902329">
      <w:pPr>
        <w:pStyle w:val="Sinespaciado"/>
        <w:jc w:val="both"/>
        <w:rPr>
          <w:rFonts w:ascii="Arial" w:hAnsi="Arial" w:cs="Arial"/>
          <w:sz w:val="20"/>
          <w:szCs w:val="20"/>
        </w:rPr>
      </w:pPr>
      <w:r>
        <w:rPr>
          <w:rFonts w:ascii="Arial" w:hAnsi="Arial" w:cs="Arial"/>
          <w:sz w:val="20"/>
          <w:szCs w:val="20"/>
        </w:rPr>
        <w:t>[…]</w:t>
      </w:r>
    </w:p>
    <w:p w:rsidR="001771F9" w:rsidRPr="00E631B0" w:rsidRDefault="001771F9" w:rsidP="00902329">
      <w:pPr>
        <w:pStyle w:val="Sinespaciado"/>
        <w:jc w:val="both"/>
        <w:rPr>
          <w:rFonts w:ascii="Arial" w:hAnsi="Arial" w:cs="Arial"/>
          <w:b/>
          <w:bCs/>
          <w:sz w:val="20"/>
          <w:szCs w:val="20"/>
        </w:rPr>
      </w:pPr>
      <w:r w:rsidRPr="0097342F">
        <w:rPr>
          <w:rFonts w:ascii="Arial" w:hAnsi="Arial" w:cs="Arial"/>
          <w:sz w:val="20"/>
          <w:szCs w:val="20"/>
        </w:rPr>
        <w:t>3.</w:t>
      </w:r>
      <w:r w:rsidRPr="00E631B0">
        <w:rPr>
          <w:rFonts w:ascii="Arial" w:hAnsi="Arial" w:cs="Arial"/>
          <w:sz w:val="20"/>
          <w:szCs w:val="20"/>
        </w:rPr>
        <w:t xml:space="preserve">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footnote>
  <w:footnote w:id="44">
    <w:p w:rsidR="001771F9" w:rsidRPr="00154C8E" w:rsidRDefault="001771F9" w:rsidP="00E52389">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Véase el expediente de la acción de inconstitucionalidad </w:t>
      </w:r>
      <w:r>
        <w:rPr>
          <w:rFonts w:ascii="Arial" w:hAnsi="Arial" w:cs="Arial"/>
        </w:rPr>
        <w:t>201/2020</w:t>
      </w:r>
      <w:r w:rsidRPr="00154C8E">
        <w:rPr>
          <w:rFonts w:ascii="Arial" w:hAnsi="Arial" w:cs="Arial"/>
        </w:rPr>
        <w:t>, fojas</w:t>
      </w:r>
      <w:r>
        <w:rPr>
          <w:rFonts w:ascii="Arial" w:hAnsi="Arial" w:cs="Arial"/>
        </w:rPr>
        <w:t xml:space="preserve"> 20</w:t>
      </w:r>
      <w:r w:rsidRPr="00154C8E">
        <w:rPr>
          <w:rFonts w:ascii="Arial" w:hAnsi="Arial" w:cs="Arial"/>
        </w:rPr>
        <w:t xml:space="preserve"> a</w:t>
      </w:r>
      <w:r>
        <w:rPr>
          <w:rFonts w:ascii="Arial" w:hAnsi="Arial" w:cs="Arial"/>
        </w:rPr>
        <w:t xml:space="preserve"> 26</w:t>
      </w:r>
      <w:r w:rsidRPr="00154C8E">
        <w:rPr>
          <w:rFonts w:ascii="Arial" w:hAnsi="Arial" w:cs="Arial"/>
        </w:rPr>
        <w:t>.</w:t>
      </w:r>
    </w:p>
  </w:footnote>
  <w:footnote w:id="45">
    <w:p w:rsidR="001771F9" w:rsidRPr="00154C8E" w:rsidRDefault="001771F9" w:rsidP="001C5355">
      <w:pPr>
        <w:pStyle w:val="Textonotapie"/>
        <w:jc w:val="both"/>
        <w:rPr>
          <w:rFonts w:ascii="Arial" w:hAnsi="Arial" w:cs="Arial"/>
        </w:rPr>
      </w:pPr>
      <w:r w:rsidRPr="00154C8E">
        <w:rPr>
          <w:rStyle w:val="Refdenotaalpie"/>
          <w:rFonts w:ascii="Arial" w:hAnsi="Arial" w:cs="Arial"/>
        </w:rPr>
        <w:footnoteRef/>
      </w:r>
      <w:r>
        <w:rPr>
          <w:rFonts w:ascii="Arial" w:hAnsi="Arial" w:cs="Arial"/>
        </w:rPr>
        <w:t xml:space="preserve"> En el presente asunto ú</w:t>
      </w:r>
      <w:r w:rsidRPr="00154C8E">
        <w:rPr>
          <w:rFonts w:ascii="Arial" w:hAnsi="Arial" w:cs="Arial"/>
        </w:rPr>
        <w:t>nicamente se tienen en cuenta las consideraciones del Poder Ejecutivo del Estado de Chihuahua, pues como se refirió en el apartado de antecedentes (</w:t>
      </w:r>
      <w:r w:rsidRPr="00154C8E">
        <w:rPr>
          <w:rFonts w:ascii="Arial" w:hAnsi="Arial" w:cs="Arial"/>
          <w:i/>
        </w:rPr>
        <w:t>supra</w:t>
      </w:r>
      <w:r w:rsidRPr="00154C8E">
        <w:rPr>
          <w:rFonts w:ascii="Arial" w:hAnsi="Arial" w:cs="Arial"/>
        </w:rPr>
        <w:t xml:space="preserve"> párr. </w:t>
      </w:r>
      <w:r>
        <w:rPr>
          <w:rFonts w:ascii="Arial" w:hAnsi="Arial" w:cs="Arial"/>
        </w:rPr>
        <w:t>13</w:t>
      </w:r>
      <w:r w:rsidRPr="00154C8E">
        <w:rPr>
          <w:rFonts w:ascii="Arial" w:hAnsi="Arial" w:cs="Arial"/>
        </w:rPr>
        <w:t>)</w:t>
      </w:r>
      <w:r>
        <w:rPr>
          <w:rFonts w:ascii="Arial" w:hAnsi="Arial" w:cs="Arial"/>
        </w:rPr>
        <w:t>,</w:t>
      </w:r>
      <w:r w:rsidRPr="00154C8E">
        <w:rPr>
          <w:rFonts w:ascii="Arial" w:hAnsi="Arial" w:cs="Arial"/>
        </w:rPr>
        <w:t xml:space="preserve"> el informe del Poder Legislativo se presentó de manera extemporánea. </w:t>
      </w:r>
    </w:p>
  </w:footnote>
  <w:footnote w:id="46">
    <w:p w:rsidR="001771F9" w:rsidRPr="00154C8E" w:rsidRDefault="001771F9" w:rsidP="007F0C3C">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Véase el expediente de la acción de inconstitucionalidad </w:t>
      </w:r>
      <w:r>
        <w:rPr>
          <w:rFonts w:ascii="Arial" w:hAnsi="Arial" w:cs="Arial"/>
        </w:rPr>
        <w:t>201</w:t>
      </w:r>
      <w:r w:rsidRPr="00154C8E">
        <w:rPr>
          <w:rFonts w:ascii="Arial" w:hAnsi="Arial" w:cs="Arial"/>
        </w:rPr>
        <w:t>/2020, fojas</w:t>
      </w:r>
      <w:r>
        <w:rPr>
          <w:rFonts w:ascii="Arial" w:hAnsi="Arial" w:cs="Arial"/>
        </w:rPr>
        <w:t xml:space="preserve"> 94 a 103</w:t>
      </w:r>
      <w:r w:rsidRPr="00154C8E">
        <w:rPr>
          <w:rFonts w:ascii="Arial" w:hAnsi="Arial" w:cs="Arial"/>
        </w:rPr>
        <w:t>.</w:t>
      </w:r>
    </w:p>
  </w:footnote>
  <w:footnote w:id="47">
    <w:p w:rsidR="001771F9" w:rsidRPr="00154C8E" w:rsidRDefault="001771F9" w:rsidP="00B37804">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Véase </w:t>
      </w:r>
      <w:r w:rsidRPr="00B37804">
        <w:rPr>
          <w:rFonts w:ascii="Arial" w:hAnsi="Arial" w:cs="Arial"/>
          <w:i/>
        </w:rPr>
        <w:t>ibíd.</w:t>
      </w:r>
      <w:r w:rsidRPr="00154C8E">
        <w:rPr>
          <w:rFonts w:ascii="Arial" w:hAnsi="Arial" w:cs="Arial"/>
        </w:rPr>
        <w:t>, fojas</w:t>
      </w:r>
      <w:r>
        <w:rPr>
          <w:rFonts w:ascii="Arial" w:hAnsi="Arial" w:cs="Arial"/>
        </w:rPr>
        <w:t xml:space="preserve"> 103</w:t>
      </w:r>
      <w:r w:rsidRPr="00154C8E">
        <w:rPr>
          <w:rFonts w:ascii="Arial" w:hAnsi="Arial" w:cs="Arial"/>
        </w:rPr>
        <w:t xml:space="preserve"> a</w:t>
      </w:r>
      <w:r>
        <w:rPr>
          <w:rFonts w:ascii="Arial" w:hAnsi="Arial" w:cs="Arial"/>
        </w:rPr>
        <w:t xml:space="preserve"> 106</w:t>
      </w:r>
      <w:r w:rsidRPr="00154C8E">
        <w:rPr>
          <w:rFonts w:ascii="Arial" w:hAnsi="Arial" w:cs="Arial"/>
        </w:rPr>
        <w:t>.</w:t>
      </w:r>
    </w:p>
  </w:footnote>
  <w:footnote w:id="48">
    <w:p w:rsidR="001771F9" w:rsidRPr="00154C8E" w:rsidRDefault="001771F9" w:rsidP="009974DB">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Pr>
          <w:rFonts w:ascii="Arial" w:hAnsi="Arial" w:cs="Arial"/>
        </w:rPr>
        <w:t>Resuelta el veintinueve de mayo de dos mil catorce, en este punto por mayoría de diez votos</w:t>
      </w:r>
      <w:r w:rsidRPr="00154C8E">
        <w:rPr>
          <w:rFonts w:ascii="Arial" w:hAnsi="Arial" w:cs="Arial"/>
        </w:rPr>
        <w:t>.</w:t>
      </w:r>
      <w:r>
        <w:rPr>
          <w:rFonts w:ascii="Arial" w:hAnsi="Arial" w:cs="Arial"/>
        </w:rPr>
        <w:t xml:space="preserve"> En este asunto el Municipio de </w:t>
      </w:r>
      <w:r>
        <w:rPr>
          <w:rFonts w:ascii="Arial" w:hAnsi="Arial" w:cs="Arial"/>
        </w:rPr>
        <w:t xml:space="preserve">Cherán, Michoacán, impugnó reformas a la Constitución Estatal. </w:t>
      </w:r>
    </w:p>
  </w:footnote>
  <w:footnote w:id="49">
    <w:p w:rsidR="001771F9" w:rsidRPr="0031119B" w:rsidRDefault="001771F9">
      <w:pPr>
        <w:pStyle w:val="Textonotapie"/>
        <w:rPr>
          <w:rFonts w:ascii="Arial" w:hAnsi="Arial" w:cs="Arial"/>
        </w:rPr>
      </w:pPr>
      <w:r w:rsidRPr="0031119B">
        <w:rPr>
          <w:rStyle w:val="Refdenotaalpie"/>
          <w:rFonts w:ascii="Arial" w:hAnsi="Arial" w:cs="Arial"/>
        </w:rPr>
        <w:footnoteRef/>
      </w:r>
      <w:r w:rsidRPr="0031119B">
        <w:rPr>
          <w:rFonts w:ascii="Arial" w:hAnsi="Arial" w:cs="Arial"/>
        </w:rPr>
        <w:t xml:space="preserve"> Véase </w:t>
      </w:r>
      <w:r w:rsidRPr="0031119B">
        <w:rPr>
          <w:rFonts w:ascii="Arial" w:hAnsi="Arial" w:cs="Arial"/>
          <w:i/>
        </w:rPr>
        <w:t>supra</w:t>
      </w:r>
      <w:r w:rsidRPr="0031119B">
        <w:rPr>
          <w:rFonts w:ascii="Arial" w:hAnsi="Arial" w:cs="Arial"/>
        </w:rPr>
        <w:t xml:space="preserve"> nota 40.</w:t>
      </w:r>
    </w:p>
  </w:footnote>
  <w:footnote w:id="50">
    <w:p w:rsidR="001771F9" w:rsidRPr="0031119B" w:rsidRDefault="001771F9" w:rsidP="0031119B">
      <w:pPr>
        <w:pStyle w:val="Textonotapie"/>
        <w:rPr>
          <w:rFonts w:ascii="Arial" w:hAnsi="Arial" w:cs="Arial"/>
        </w:rPr>
      </w:pPr>
      <w:r w:rsidRPr="0031119B">
        <w:rPr>
          <w:rStyle w:val="Refdenotaalpie"/>
          <w:rFonts w:ascii="Arial" w:hAnsi="Arial" w:cs="Arial"/>
        </w:rPr>
        <w:footnoteRef/>
      </w:r>
      <w:r w:rsidRPr="0031119B">
        <w:rPr>
          <w:rFonts w:ascii="Arial" w:hAnsi="Arial" w:cs="Arial"/>
        </w:rPr>
        <w:t xml:space="preserve"> Véase </w:t>
      </w:r>
      <w:r w:rsidRPr="0031119B">
        <w:rPr>
          <w:rFonts w:ascii="Arial" w:hAnsi="Arial" w:cs="Arial"/>
          <w:i/>
        </w:rPr>
        <w:t>supra</w:t>
      </w:r>
      <w:r w:rsidRPr="0031119B">
        <w:rPr>
          <w:rFonts w:ascii="Arial" w:hAnsi="Arial" w:cs="Arial"/>
        </w:rPr>
        <w:t xml:space="preserve"> nota </w:t>
      </w:r>
      <w:r>
        <w:rPr>
          <w:rFonts w:ascii="Arial" w:hAnsi="Arial" w:cs="Arial"/>
        </w:rPr>
        <w:t>41</w:t>
      </w:r>
      <w:r w:rsidRPr="0031119B">
        <w:rPr>
          <w:rFonts w:ascii="Arial" w:hAnsi="Arial" w:cs="Arial"/>
        </w:rPr>
        <w:t>.</w:t>
      </w:r>
    </w:p>
  </w:footnote>
  <w:footnote w:id="51">
    <w:p w:rsidR="001771F9" w:rsidRPr="00154C8E" w:rsidRDefault="001771F9" w:rsidP="005D5C66">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Pr>
          <w:rFonts w:ascii="Arial" w:hAnsi="Arial" w:cs="Arial"/>
        </w:rPr>
        <w:t>Controversia constitucional 32/2012, pág. 72</w:t>
      </w:r>
      <w:r w:rsidRPr="00154C8E">
        <w:rPr>
          <w:rFonts w:ascii="Arial" w:hAnsi="Arial" w:cs="Arial"/>
        </w:rPr>
        <w:t>.</w:t>
      </w:r>
    </w:p>
  </w:footnote>
  <w:footnote w:id="52">
    <w:p w:rsidR="001771F9" w:rsidRPr="00154C8E" w:rsidRDefault="001771F9" w:rsidP="00613F05">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Pr>
          <w:rFonts w:ascii="Arial" w:hAnsi="Arial" w:cs="Arial"/>
        </w:rPr>
        <w:t xml:space="preserve">Véase </w:t>
      </w:r>
      <w:r w:rsidRPr="00613F05">
        <w:rPr>
          <w:rFonts w:ascii="Arial" w:hAnsi="Arial" w:cs="Arial"/>
          <w:i/>
        </w:rPr>
        <w:t>ibíd.</w:t>
      </w:r>
      <w:r>
        <w:rPr>
          <w:rFonts w:ascii="Arial" w:hAnsi="Arial" w:cs="Arial"/>
        </w:rPr>
        <w:t>, págs. 72 y 73</w:t>
      </w:r>
      <w:r w:rsidRPr="00154C8E">
        <w:rPr>
          <w:rFonts w:ascii="Arial" w:hAnsi="Arial" w:cs="Arial"/>
        </w:rPr>
        <w:t>.</w:t>
      </w:r>
    </w:p>
  </w:footnote>
  <w:footnote w:id="53">
    <w:p w:rsidR="001771F9" w:rsidRPr="00154C8E" w:rsidRDefault="001771F9" w:rsidP="00A73DB4">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Pr>
          <w:rFonts w:ascii="Arial" w:hAnsi="Arial" w:cs="Arial"/>
        </w:rPr>
        <w:t xml:space="preserve">Resuelta el diecinueve de octubre de dos mil quince, en este punto por unanimidad de diez votos. En ese asunto diversos partidos políticos impugnaron, entre otras normas, la </w:t>
      </w:r>
      <w:r w:rsidRPr="00950E49">
        <w:rPr>
          <w:rFonts w:ascii="Arial" w:hAnsi="Arial" w:cs="Arial"/>
        </w:rPr>
        <w:t>Ley de Sistemas Electorales Indígenas para el Estado de Oaxaca</w:t>
      </w:r>
      <w:r>
        <w:rPr>
          <w:rFonts w:ascii="Arial" w:hAnsi="Arial" w:cs="Arial"/>
        </w:rPr>
        <w:t xml:space="preserve">. </w:t>
      </w:r>
    </w:p>
  </w:footnote>
  <w:footnote w:id="54">
    <w:p w:rsidR="001771F9" w:rsidRPr="00154C8E" w:rsidRDefault="001771F9" w:rsidP="00A73DB4">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Pr>
          <w:rFonts w:ascii="Arial" w:hAnsi="Arial" w:cs="Arial"/>
        </w:rPr>
        <w:t>Véase la acción de inconstitucionalidad 83/2015 y sus acumuladas, págs. 91 a 100.</w:t>
      </w:r>
    </w:p>
  </w:footnote>
  <w:footnote w:id="55">
    <w:p w:rsidR="001771F9" w:rsidRPr="00154C8E" w:rsidRDefault="001771F9" w:rsidP="00D11888">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Pr>
          <w:rFonts w:ascii="Arial" w:hAnsi="Arial" w:cs="Arial"/>
        </w:rPr>
        <w:t xml:space="preserve">Resuelta el ocho de marzo de dos mil dieciséis, en este punto por mayoría de ocho votos. En ese asunto la Comisión Estatal de Derechos Humanos de San Luis Potosí impugnó el </w:t>
      </w:r>
      <w:r w:rsidRPr="00D11888">
        <w:rPr>
          <w:rFonts w:ascii="Arial" w:hAnsi="Arial" w:cs="Arial"/>
        </w:rPr>
        <w:t>quinto párrafo del artículo 27 de la Ley para el Instituto de Desarrollo Humano y Social de los Pueblos y Comunidades Indígenas del Estado de San Luis Potosí</w:t>
      </w:r>
      <w:r>
        <w:rPr>
          <w:rFonts w:ascii="Arial" w:hAnsi="Arial" w:cs="Arial"/>
        </w:rPr>
        <w:t xml:space="preserve">. </w:t>
      </w:r>
    </w:p>
  </w:footnote>
  <w:footnote w:id="56">
    <w:p w:rsidR="001771F9" w:rsidRPr="00154C8E" w:rsidRDefault="001771F9" w:rsidP="00D11888">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Pr>
          <w:rFonts w:ascii="Arial" w:hAnsi="Arial" w:cs="Arial"/>
        </w:rPr>
        <w:t>Véase la acción de inconstitucionalidad 31/2014, págs. 26 y 27 (“</w:t>
      </w:r>
      <w:r w:rsidRPr="008D1FC3">
        <w:rPr>
          <w:rFonts w:ascii="Arial" w:hAnsi="Arial" w:cs="Arial"/>
        </w:rPr>
        <w:t>Por lo que al ser el consejo el mecanismo mediante el cual las comunidades indígenas pueden, en parte, ejercer su derecho de participación en la formulación de las políticas públicas que afecten sus intereses, además de tener intervención directa en el seguimiento y evaluación de dichas políticas e, incluso, hacer del conocimiento del instituto para su atención la información y planteamiento de problemas concretos que deriven de situaciones de discriminación o inequidad por cuestiones propias de las comunidades e individuos indígenas, cualquier medida legislativa que pretenda modificar algún aspecto de ese organismo es susceptible de causarles un perjuicio.</w:t>
      </w:r>
      <w:r>
        <w:rPr>
          <w:rFonts w:ascii="Arial" w:hAnsi="Arial" w:cs="Arial"/>
        </w:rPr>
        <w:t>”).</w:t>
      </w:r>
    </w:p>
  </w:footnote>
  <w:footnote w:id="57">
    <w:p w:rsidR="001771F9" w:rsidRPr="00154C8E" w:rsidRDefault="001771F9" w:rsidP="00A70C4E">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Pr>
          <w:rFonts w:ascii="Arial" w:hAnsi="Arial" w:cs="Arial"/>
        </w:rPr>
        <w:t xml:space="preserve">Resuelta el veintiocho de junio de dos mil dieciocho, en este punto por unanimidad de once votos. En ese asunto la Comisión Nacional de los Derechos Humanos impugnó la </w:t>
      </w:r>
      <w:r w:rsidRPr="00A70C4E">
        <w:rPr>
          <w:rFonts w:ascii="Arial" w:hAnsi="Arial" w:cs="Arial"/>
          <w:lang w:val="es-ES_tradnl"/>
        </w:rPr>
        <w:t>Ley Orgánica de la Universidad Autónoma Intercultural de Sinaloa</w:t>
      </w:r>
      <w:r>
        <w:rPr>
          <w:rFonts w:ascii="Arial" w:hAnsi="Arial" w:cs="Arial"/>
        </w:rPr>
        <w:t xml:space="preserve">. </w:t>
      </w:r>
    </w:p>
  </w:footnote>
  <w:footnote w:id="58">
    <w:p w:rsidR="001771F9" w:rsidRPr="000B18E1" w:rsidRDefault="001771F9" w:rsidP="00722096">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w:t>
      </w:r>
      <w:r>
        <w:rPr>
          <w:rFonts w:ascii="Arial" w:hAnsi="Arial" w:cs="Arial"/>
        </w:rPr>
        <w:t>Véase la acción de inconstitucionalidad 84/2016, pág.17 (“</w:t>
      </w:r>
      <w:r w:rsidRPr="000B18E1">
        <w:rPr>
          <w:rFonts w:ascii="Arial" w:hAnsi="Arial" w:cs="Arial"/>
        </w:rPr>
        <w:t>57.</w:t>
      </w:r>
      <w:r>
        <w:rPr>
          <w:rFonts w:ascii="Arial" w:hAnsi="Arial" w:cs="Arial"/>
        </w:rPr>
        <w:t xml:space="preserve"> </w:t>
      </w:r>
      <w:r w:rsidRPr="000B18E1">
        <w:rPr>
          <w:rFonts w:ascii="Arial" w:hAnsi="Arial" w:cs="Arial"/>
        </w:rPr>
        <w:t>Se advierte entonces, que la Ley impugnada puede afectar a los pueblos indígenas del Estado de Sinaloa por crear y regular una institución estatal destinada a la atención gratuita de las necesidades de educación superior de los pueblos y comunidades indígenas dentro del territorio estatal y por ende, el Congreso local, tenía la obligación de consultarles directamente a los mismos, previo a la emisión de la norma impugnada.”).</w:t>
      </w:r>
    </w:p>
  </w:footnote>
  <w:footnote w:id="59">
    <w:p w:rsidR="001771F9" w:rsidRDefault="001771F9" w:rsidP="00722096">
      <w:pPr>
        <w:pStyle w:val="Textonotapie"/>
        <w:jc w:val="both"/>
      </w:pPr>
      <w:r w:rsidRPr="00722096">
        <w:rPr>
          <w:rStyle w:val="Refdenotaalpie"/>
          <w:rFonts w:ascii="Arial" w:hAnsi="Arial" w:cs="Arial"/>
        </w:rPr>
        <w:footnoteRef/>
      </w:r>
      <w:r>
        <w:t xml:space="preserve"> </w:t>
      </w:r>
      <w:r>
        <w:rPr>
          <w:rFonts w:ascii="Arial" w:hAnsi="Arial" w:cs="Arial"/>
        </w:rPr>
        <w:t>R</w:t>
      </w:r>
      <w:r w:rsidRPr="007A5AAD">
        <w:rPr>
          <w:rFonts w:ascii="Arial" w:hAnsi="Arial" w:cs="Arial"/>
        </w:rPr>
        <w:t xml:space="preserve">esuelta el </w:t>
      </w:r>
      <w:r>
        <w:rPr>
          <w:rFonts w:ascii="Arial" w:hAnsi="Arial" w:cs="Arial"/>
        </w:rPr>
        <w:t>veintiocho</w:t>
      </w:r>
      <w:r w:rsidRPr="007A5AAD">
        <w:rPr>
          <w:rFonts w:ascii="Arial" w:hAnsi="Arial" w:cs="Arial"/>
        </w:rPr>
        <w:t xml:space="preserve"> de junio de </w:t>
      </w:r>
      <w:r>
        <w:rPr>
          <w:rFonts w:ascii="Arial" w:hAnsi="Arial" w:cs="Arial"/>
        </w:rPr>
        <w:t>dos mil dieciocho</w:t>
      </w:r>
      <w:r w:rsidRPr="007A5AAD">
        <w:rPr>
          <w:rFonts w:ascii="Arial" w:hAnsi="Arial" w:cs="Arial"/>
        </w:rPr>
        <w:t xml:space="preserve">, </w:t>
      </w:r>
      <w:r>
        <w:rPr>
          <w:rFonts w:ascii="Arial" w:hAnsi="Arial" w:cs="Arial"/>
        </w:rPr>
        <w:t>en este punto</w:t>
      </w:r>
      <w:r w:rsidRPr="007A5AAD">
        <w:rPr>
          <w:rFonts w:ascii="Arial" w:hAnsi="Arial" w:cs="Arial"/>
        </w:rPr>
        <w:t xml:space="preserve"> por unanimidad de once votos</w:t>
      </w:r>
      <w:r>
        <w:rPr>
          <w:rFonts w:ascii="Arial" w:hAnsi="Arial" w:cs="Arial"/>
        </w:rPr>
        <w:t>.</w:t>
      </w:r>
      <w:r w:rsidRPr="007A5AAD">
        <w:rPr>
          <w:rFonts w:ascii="Arial" w:hAnsi="Arial" w:cs="Arial"/>
        </w:rPr>
        <w:t xml:space="preserve"> </w:t>
      </w:r>
      <w:r>
        <w:rPr>
          <w:rFonts w:ascii="Arial" w:hAnsi="Arial" w:cs="Arial"/>
        </w:rPr>
        <w:t>En ese punto se impugnó el decreto por el que se modificó</w:t>
      </w:r>
      <w:r w:rsidRPr="007A5AAD">
        <w:rPr>
          <w:rFonts w:ascii="Arial" w:hAnsi="Arial" w:cs="Arial"/>
        </w:rPr>
        <w:t xml:space="preserve"> la Ley para la Protección de los Derechos de la Comunidad Maya del Estado de Yucatán y la Ley del Sistema de Justicia Maya del Estado de Yucatán.</w:t>
      </w:r>
    </w:p>
  </w:footnote>
  <w:footnote w:id="60">
    <w:p w:rsidR="001771F9" w:rsidRPr="006A08DA" w:rsidRDefault="001771F9" w:rsidP="00722096">
      <w:pPr>
        <w:pStyle w:val="Textonotapie"/>
        <w:jc w:val="both"/>
        <w:rPr>
          <w:rFonts w:ascii="Arial" w:hAnsi="Arial" w:cs="Arial"/>
        </w:rPr>
      </w:pPr>
      <w:r w:rsidRPr="006A08DA">
        <w:rPr>
          <w:rStyle w:val="Refdenotaalpie"/>
          <w:rFonts w:ascii="Arial" w:hAnsi="Arial" w:cs="Arial"/>
        </w:rPr>
        <w:footnoteRef/>
      </w:r>
      <w:r w:rsidRPr="006A08DA">
        <w:rPr>
          <w:rFonts w:ascii="Arial" w:hAnsi="Arial" w:cs="Arial"/>
        </w:rPr>
        <w:t xml:space="preserve"> </w:t>
      </w:r>
      <w:r>
        <w:rPr>
          <w:rFonts w:ascii="Arial" w:hAnsi="Arial" w:cs="Arial"/>
        </w:rPr>
        <w:t xml:space="preserve">Véase la </w:t>
      </w:r>
      <w:r w:rsidRPr="00884C7E">
        <w:rPr>
          <w:rFonts w:ascii="Arial" w:hAnsi="Arial" w:cs="Arial"/>
        </w:rPr>
        <w:t xml:space="preserve">acción de inconstitucionalidad </w:t>
      </w:r>
      <w:r>
        <w:rPr>
          <w:rFonts w:ascii="Arial" w:hAnsi="Arial" w:cs="Arial"/>
        </w:rPr>
        <w:t>151/2017, págs. 33 y 34.</w:t>
      </w:r>
    </w:p>
  </w:footnote>
  <w:footnote w:id="61">
    <w:p w:rsidR="001771F9" w:rsidRPr="006A08DA" w:rsidRDefault="001771F9" w:rsidP="004E167E">
      <w:pPr>
        <w:pStyle w:val="Textonotapie"/>
        <w:jc w:val="both"/>
        <w:rPr>
          <w:rFonts w:ascii="Arial" w:hAnsi="Arial" w:cs="Arial"/>
        </w:rPr>
      </w:pPr>
      <w:r w:rsidRPr="006A08DA">
        <w:rPr>
          <w:rStyle w:val="Refdenotaalpie"/>
          <w:rFonts w:ascii="Arial" w:hAnsi="Arial" w:cs="Arial"/>
        </w:rPr>
        <w:footnoteRef/>
      </w:r>
      <w:r w:rsidRPr="006A08DA">
        <w:rPr>
          <w:rFonts w:ascii="Arial" w:hAnsi="Arial" w:cs="Arial"/>
        </w:rPr>
        <w:t xml:space="preserve"> Resuelta el cinco de diciembre de dos mil diecinueve, en este punto por mayoría de nueve votos. En ese asunto se impugnó el Decreto número 203 mediante el cual se reformaron varios artículos del Código Electoral del Estado de Hidalgo.</w:t>
      </w:r>
    </w:p>
  </w:footnote>
  <w:footnote w:id="62">
    <w:p w:rsidR="001771F9" w:rsidRPr="006A08DA" w:rsidRDefault="001771F9" w:rsidP="007A5AAD">
      <w:pPr>
        <w:pStyle w:val="Textonotapie"/>
        <w:jc w:val="both"/>
        <w:rPr>
          <w:rFonts w:ascii="Arial" w:hAnsi="Arial" w:cs="Arial"/>
        </w:rPr>
      </w:pPr>
      <w:r w:rsidRPr="006A08DA">
        <w:rPr>
          <w:rStyle w:val="Refdenotaalpie"/>
          <w:rFonts w:ascii="Arial" w:hAnsi="Arial" w:cs="Arial"/>
        </w:rPr>
        <w:footnoteRef/>
      </w:r>
      <w:r w:rsidRPr="006A08DA">
        <w:rPr>
          <w:rFonts w:ascii="Arial" w:hAnsi="Arial" w:cs="Arial"/>
        </w:rPr>
        <w:t xml:space="preserve"> Resuelta el </w:t>
      </w:r>
      <w:r>
        <w:rPr>
          <w:rFonts w:ascii="Arial" w:hAnsi="Arial" w:cs="Arial"/>
        </w:rPr>
        <w:t>doce</w:t>
      </w:r>
      <w:r w:rsidRPr="006A08DA">
        <w:rPr>
          <w:rFonts w:ascii="Arial" w:hAnsi="Arial" w:cs="Arial"/>
        </w:rPr>
        <w:t xml:space="preserve"> de </w:t>
      </w:r>
      <w:r>
        <w:rPr>
          <w:rFonts w:ascii="Arial" w:hAnsi="Arial" w:cs="Arial"/>
        </w:rPr>
        <w:t>marzo</w:t>
      </w:r>
      <w:r w:rsidRPr="006A08DA">
        <w:rPr>
          <w:rFonts w:ascii="Arial" w:hAnsi="Arial" w:cs="Arial"/>
        </w:rPr>
        <w:t xml:space="preserve"> de dos mil </w:t>
      </w:r>
      <w:r>
        <w:rPr>
          <w:rFonts w:ascii="Arial" w:hAnsi="Arial" w:cs="Arial"/>
        </w:rPr>
        <w:t>veinte</w:t>
      </w:r>
      <w:r w:rsidRPr="006A08DA">
        <w:rPr>
          <w:rFonts w:ascii="Arial" w:hAnsi="Arial" w:cs="Arial"/>
        </w:rPr>
        <w:t xml:space="preserve">, en este punto por mayoría de nueve votos. En ese asunto </w:t>
      </w:r>
      <w:r>
        <w:rPr>
          <w:rFonts w:ascii="Arial" w:hAnsi="Arial" w:cs="Arial"/>
        </w:rPr>
        <w:t>se impugnó el Decreto número 204</w:t>
      </w:r>
      <w:r w:rsidRPr="006A08DA">
        <w:rPr>
          <w:rFonts w:ascii="Arial" w:hAnsi="Arial" w:cs="Arial"/>
        </w:rPr>
        <w:t xml:space="preserve"> mediante el cual se reform</w:t>
      </w:r>
      <w:r>
        <w:rPr>
          <w:rFonts w:ascii="Arial" w:hAnsi="Arial" w:cs="Arial"/>
        </w:rPr>
        <w:t>ó el artículo 5°</w:t>
      </w:r>
      <w:r w:rsidRPr="006A08DA">
        <w:rPr>
          <w:rFonts w:ascii="Arial" w:hAnsi="Arial" w:cs="Arial"/>
        </w:rPr>
        <w:t xml:space="preserve"> de</w:t>
      </w:r>
      <w:r>
        <w:rPr>
          <w:rFonts w:ascii="Arial" w:hAnsi="Arial" w:cs="Arial"/>
        </w:rPr>
        <w:t xml:space="preserve"> la Constitución Política</w:t>
      </w:r>
      <w:r w:rsidRPr="006A08DA">
        <w:rPr>
          <w:rFonts w:ascii="Arial" w:hAnsi="Arial" w:cs="Arial"/>
        </w:rPr>
        <w:t xml:space="preserve"> del Estado de Hidalgo.</w:t>
      </w:r>
    </w:p>
  </w:footnote>
  <w:footnote w:id="63">
    <w:p w:rsidR="001771F9" w:rsidRPr="006A08DA" w:rsidRDefault="001771F9" w:rsidP="00884C7E">
      <w:pPr>
        <w:pStyle w:val="Textonotapie"/>
        <w:jc w:val="both"/>
        <w:rPr>
          <w:rFonts w:ascii="Arial" w:hAnsi="Arial" w:cs="Arial"/>
        </w:rPr>
      </w:pPr>
      <w:r w:rsidRPr="006A08DA">
        <w:rPr>
          <w:rStyle w:val="Refdenotaalpie"/>
          <w:rFonts w:ascii="Arial" w:hAnsi="Arial" w:cs="Arial"/>
        </w:rPr>
        <w:footnoteRef/>
      </w:r>
      <w:r w:rsidRPr="006A08DA">
        <w:rPr>
          <w:rFonts w:ascii="Arial" w:hAnsi="Arial" w:cs="Arial"/>
        </w:rPr>
        <w:t xml:space="preserve"> </w:t>
      </w:r>
      <w:r>
        <w:rPr>
          <w:rFonts w:ascii="Arial" w:hAnsi="Arial" w:cs="Arial"/>
        </w:rPr>
        <w:t xml:space="preserve">Véase la </w:t>
      </w:r>
      <w:r w:rsidRPr="00884C7E">
        <w:rPr>
          <w:rFonts w:ascii="Arial" w:hAnsi="Arial" w:cs="Arial"/>
        </w:rPr>
        <w:t>acción de inconstitucionalidad 108/2019 y su acumulada</w:t>
      </w:r>
      <w:r>
        <w:rPr>
          <w:rFonts w:ascii="Arial" w:hAnsi="Arial" w:cs="Arial"/>
        </w:rPr>
        <w:t>, págs. 65 a 83,</w:t>
      </w:r>
      <w:r w:rsidRPr="00884C7E">
        <w:rPr>
          <w:rFonts w:ascii="Arial" w:hAnsi="Arial" w:cs="Arial"/>
        </w:rPr>
        <w:t xml:space="preserve"> </w:t>
      </w:r>
      <w:r>
        <w:rPr>
          <w:rFonts w:ascii="Arial" w:hAnsi="Arial" w:cs="Arial"/>
        </w:rPr>
        <w:t>y la acción de inconstitucionalidad 116/2019 y su acumulada, págs. 41 a 43</w:t>
      </w:r>
      <w:r w:rsidRPr="006A08DA">
        <w:rPr>
          <w:rFonts w:ascii="Arial" w:hAnsi="Arial" w:cs="Arial"/>
        </w:rPr>
        <w:t>.</w:t>
      </w:r>
    </w:p>
  </w:footnote>
  <w:footnote w:id="64">
    <w:p w:rsidR="001771F9" w:rsidRPr="00390007" w:rsidRDefault="001771F9" w:rsidP="007B2A4D">
      <w:pPr>
        <w:pStyle w:val="Textonotapie"/>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Resuelta el veinte de abril de dos mil veinte, en este punto por mayoría de nueve votos.</w:t>
      </w:r>
    </w:p>
  </w:footnote>
  <w:footnote w:id="65">
    <w:p w:rsidR="001771F9" w:rsidRPr="00390007" w:rsidRDefault="001771F9" w:rsidP="00471D5C">
      <w:pPr>
        <w:pStyle w:val="Textonotapie"/>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 xml:space="preserve">Véase </w:t>
      </w:r>
      <w:r w:rsidRPr="00EB31A6">
        <w:rPr>
          <w:rFonts w:ascii="Arial" w:hAnsi="Arial" w:cs="Arial"/>
        </w:rPr>
        <w:t>la acción de inconstitucionalidad 81/2018</w:t>
      </w:r>
      <w:r>
        <w:rPr>
          <w:rFonts w:ascii="Arial" w:hAnsi="Arial" w:cs="Arial"/>
        </w:rPr>
        <w:t xml:space="preserve">, pág. 79. </w:t>
      </w:r>
    </w:p>
  </w:footnote>
  <w:footnote w:id="66">
    <w:p w:rsidR="001771F9" w:rsidRPr="00390007" w:rsidRDefault="001771F9" w:rsidP="00062D68">
      <w:pPr>
        <w:pStyle w:val="Textonotapie"/>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Véase la acción de inconstitucionalidad 151/2017, pág. 41; la acción de inconstitucionalidad 116/2019 y su acumulada, págs. 42 y 43, y la acción de inconstitucionalidad 81/2018, pág. 82.</w:t>
      </w:r>
    </w:p>
  </w:footnote>
  <w:footnote w:id="67">
    <w:p w:rsidR="001771F9" w:rsidRPr="00390007" w:rsidRDefault="001771F9" w:rsidP="0036650D">
      <w:pPr>
        <w:pStyle w:val="Textonotapie"/>
        <w:rPr>
          <w:rFonts w:ascii="Arial" w:hAnsi="Arial" w:cs="Arial"/>
        </w:rPr>
      </w:pPr>
      <w:r w:rsidRPr="00390007">
        <w:rPr>
          <w:rStyle w:val="Refdenotaalpie"/>
          <w:rFonts w:ascii="Arial" w:hAnsi="Arial" w:cs="Arial"/>
        </w:rPr>
        <w:footnoteRef/>
      </w:r>
      <w:r>
        <w:rPr>
          <w:rFonts w:ascii="Arial" w:hAnsi="Arial" w:cs="Arial"/>
        </w:rPr>
        <w:t xml:space="preserve"> Acción de inconstitucionalidad 81/2018, pág. 82.</w:t>
      </w:r>
    </w:p>
  </w:footnote>
  <w:footnote w:id="68">
    <w:p w:rsidR="001771F9" w:rsidRPr="00DF1727" w:rsidRDefault="001771F9">
      <w:pPr>
        <w:pStyle w:val="Textonotapie"/>
        <w:rPr>
          <w:rFonts w:ascii="Arial" w:hAnsi="Arial" w:cs="Arial"/>
        </w:rPr>
      </w:pPr>
      <w:r w:rsidRPr="00DF1727">
        <w:rPr>
          <w:rStyle w:val="Refdenotaalpie"/>
          <w:rFonts w:ascii="Arial" w:hAnsi="Arial" w:cs="Arial"/>
        </w:rPr>
        <w:footnoteRef/>
      </w:r>
      <w:r w:rsidRPr="00DF1727">
        <w:rPr>
          <w:rFonts w:ascii="Arial" w:hAnsi="Arial" w:cs="Arial"/>
        </w:rPr>
        <w:t xml:space="preserve"> Véase </w:t>
      </w:r>
      <w:r w:rsidRPr="00DF1727">
        <w:rPr>
          <w:rFonts w:ascii="Arial" w:hAnsi="Arial" w:cs="Arial"/>
          <w:i/>
        </w:rPr>
        <w:t>supra</w:t>
      </w:r>
      <w:r w:rsidRPr="00DF1727">
        <w:rPr>
          <w:rFonts w:ascii="Arial" w:hAnsi="Arial" w:cs="Arial"/>
        </w:rPr>
        <w:t xml:space="preserve"> nota 24.</w:t>
      </w:r>
    </w:p>
  </w:footnote>
  <w:footnote w:id="69">
    <w:p w:rsidR="001771F9" w:rsidRPr="00DF1727" w:rsidRDefault="001771F9" w:rsidP="00A147D3">
      <w:pPr>
        <w:pStyle w:val="Textonotapie"/>
        <w:rPr>
          <w:rFonts w:ascii="Arial" w:hAnsi="Arial" w:cs="Arial"/>
        </w:rPr>
      </w:pPr>
      <w:r w:rsidRPr="00DF1727">
        <w:rPr>
          <w:rStyle w:val="Refdenotaalpie"/>
          <w:rFonts w:ascii="Arial" w:hAnsi="Arial" w:cs="Arial"/>
        </w:rPr>
        <w:footnoteRef/>
      </w:r>
      <w:r w:rsidRPr="00DF1727">
        <w:rPr>
          <w:rFonts w:ascii="Arial" w:hAnsi="Arial" w:cs="Arial"/>
        </w:rPr>
        <w:t xml:space="preserve"> Véase </w:t>
      </w:r>
      <w:r w:rsidRPr="00DF1727">
        <w:rPr>
          <w:rFonts w:ascii="Arial" w:hAnsi="Arial" w:cs="Arial"/>
          <w:i/>
        </w:rPr>
        <w:t>supra</w:t>
      </w:r>
      <w:r>
        <w:rPr>
          <w:rFonts w:ascii="Arial" w:hAnsi="Arial" w:cs="Arial"/>
        </w:rPr>
        <w:t xml:space="preserve"> nota 27</w:t>
      </w:r>
      <w:r w:rsidRPr="00DF1727">
        <w:rPr>
          <w:rFonts w:ascii="Arial" w:hAnsi="Arial" w:cs="Arial"/>
        </w:rPr>
        <w:t>.</w:t>
      </w:r>
    </w:p>
  </w:footnote>
  <w:footnote w:id="70">
    <w:p w:rsidR="001771F9" w:rsidRPr="00DF1727" w:rsidRDefault="001771F9" w:rsidP="00A961F9">
      <w:pPr>
        <w:pStyle w:val="Textonotapie"/>
        <w:rPr>
          <w:rFonts w:ascii="Arial" w:hAnsi="Arial" w:cs="Arial"/>
        </w:rPr>
      </w:pPr>
      <w:r w:rsidRPr="00DF1727">
        <w:rPr>
          <w:rStyle w:val="Refdenotaalpie"/>
          <w:rFonts w:ascii="Arial" w:hAnsi="Arial" w:cs="Arial"/>
        </w:rPr>
        <w:footnoteRef/>
      </w:r>
      <w:r w:rsidRPr="00DF1727">
        <w:rPr>
          <w:rFonts w:ascii="Arial" w:hAnsi="Arial" w:cs="Arial"/>
        </w:rPr>
        <w:t xml:space="preserve"> Véase </w:t>
      </w:r>
      <w:r w:rsidRPr="00DF1727">
        <w:rPr>
          <w:rFonts w:ascii="Arial" w:hAnsi="Arial" w:cs="Arial"/>
          <w:i/>
        </w:rPr>
        <w:t>supra</w:t>
      </w:r>
      <w:r>
        <w:rPr>
          <w:rFonts w:ascii="Arial" w:hAnsi="Arial" w:cs="Arial"/>
        </w:rPr>
        <w:t xml:space="preserve"> nota 29</w:t>
      </w:r>
      <w:r w:rsidRPr="00DF1727">
        <w:rPr>
          <w:rFonts w:ascii="Arial" w:hAnsi="Arial" w:cs="Arial"/>
        </w:rPr>
        <w:t>.</w:t>
      </w:r>
    </w:p>
  </w:footnote>
  <w:footnote w:id="71">
    <w:p w:rsidR="001771F9" w:rsidRPr="00DF1727" w:rsidRDefault="001771F9" w:rsidP="00A961F9">
      <w:pPr>
        <w:pStyle w:val="Textonotapie"/>
        <w:rPr>
          <w:rFonts w:ascii="Arial" w:hAnsi="Arial" w:cs="Arial"/>
        </w:rPr>
      </w:pPr>
      <w:r w:rsidRPr="00DF1727">
        <w:rPr>
          <w:rStyle w:val="Refdenotaalpie"/>
          <w:rFonts w:ascii="Arial" w:hAnsi="Arial" w:cs="Arial"/>
        </w:rPr>
        <w:footnoteRef/>
      </w:r>
      <w:r w:rsidRPr="00DF1727">
        <w:rPr>
          <w:rFonts w:ascii="Arial" w:hAnsi="Arial" w:cs="Arial"/>
        </w:rPr>
        <w:t xml:space="preserve"> Véase </w:t>
      </w:r>
      <w:r w:rsidRPr="00DF1727">
        <w:rPr>
          <w:rFonts w:ascii="Arial" w:hAnsi="Arial" w:cs="Arial"/>
          <w:i/>
        </w:rPr>
        <w:t>supra</w:t>
      </w:r>
      <w:r w:rsidRPr="00DF1727">
        <w:rPr>
          <w:rFonts w:ascii="Arial" w:hAnsi="Arial" w:cs="Arial"/>
        </w:rPr>
        <w:t xml:space="preserve"> nota </w:t>
      </w:r>
      <w:r>
        <w:rPr>
          <w:rFonts w:ascii="Arial" w:hAnsi="Arial" w:cs="Arial"/>
        </w:rPr>
        <w:t>30</w:t>
      </w:r>
      <w:r w:rsidRPr="00DF1727">
        <w:rPr>
          <w:rFonts w:ascii="Arial" w:hAnsi="Arial" w:cs="Arial"/>
        </w:rPr>
        <w:t>.</w:t>
      </w:r>
    </w:p>
  </w:footnote>
  <w:footnote w:id="72">
    <w:p w:rsidR="001771F9" w:rsidRPr="00DF1727" w:rsidRDefault="001771F9" w:rsidP="00A961F9">
      <w:pPr>
        <w:pStyle w:val="Textonotapie"/>
        <w:rPr>
          <w:rFonts w:ascii="Arial" w:hAnsi="Arial" w:cs="Arial"/>
        </w:rPr>
      </w:pPr>
      <w:r w:rsidRPr="00DF1727">
        <w:rPr>
          <w:rStyle w:val="Refdenotaalpie"/>
          <w:rFonts w:ascii="Arial" w:hAnsi="Arial" w:cs="Arial"/>
        </w:rPr>
        <w:footnoteRef/>
      </w:r>
      <w:r w:rsidRPr="00DF1727">
        <w:rPr>
          <w:rFonts w:ascii="Arial" w:hAnsi="Arial" w:cs="Arial"/>
        </w:rPr>
        <w:t xml:space="preserve"> Véase </w:t>
      </w:r>
      <w:r w:rsidRPr="00DF1727">
        <w:rPr>
          <w:rFonts w:ascii="Arial" w:hAnsi="Arial" w:cs="Arial"/>
          <w:i/>
        </w:rPr>
        <w:t>supra</w:t>
      </w:r>
      <w:r w:rsidRPr="00DF1727">
        <w:rPr>
          <w:rFonts w:ascii="Arial" w:hAnsi="Arial" w:cs="Arial"/>
        </w:rPr>
        <w:t xml:space="preserve"> nota </w:t>
      </w:r>
      <w:r>
        <w:rPr>
          <w:rFonts w:ascii="Arial" w:hAnsi="Arial" w:cs="Arial"/>
        </w:rPr>
        <w:t>31</w:t>
      </w:r>
      <w:r w:rsidRPr="00DF1727">
        <w:rPr>
          <w:rFonts w:ascii="Arial" w:hAnsi="Arial" w:cs="Arial"/>
        </w:rPr>
        <w:t>.</w:t>
      </w:r>
    </w:p>
  </w:footnote>
  <w:footnote w:id="73">
    <w:p w:rsidR="001771F9" w:rsidRPr="00DF1727" w:rsidRDefault="001771F9" w:rsidP="00303B1A">
      <w:pPr>
        <w:pStyle w:val="Textonotapie"/>
        <w:rPr>
          <w:rFonts w:ascii="Arial" w:hAnsi="Arial" w:cs="Arial"/>
        </w:rPr>
      </w:pPr>
      <w:r w:rsidRPr="00DF1727">
        <w:rPr>
          <w:rStyle w:val="Refdenotaalpie"/>
          <w:rFonts w:ascii="Arial" w:hAnsi="Arial" w:cs="Arial"/>
        </w:rPr>
        <w:footnoteRef/>
      </w:r>
      <w:r w:rsidRPr="00DF1727">
        <w:rPr>
          <w:rFonts w:ascii="Arial" w:hAnsi="Arial" w:cs="Arial"/>
        </w:rPr>
        <w:t xml:space="preserve"> Véase </w:t>
      </w:r>
      <w:r w:rsidRPr="00DF1727">
        <w:rPr>
          <w:rFonts w:ascii="Arial" w:hAnsi="Arial" w:cs="Arial"/>
          <w:i/>
        </w:rPr>
        <w:t>supra</w:t>
      </w:r>
      <w:r w:rsidRPr="00DF1727">
        <w:rPr>
          <w:rFonts w:ascii="Arial" w:hAnsi="Arial" w:cs="Arial"/>
        </w:rPr>
        <w:t xml:space="preserve"> nota </w:t>
      </w:r>
      <w:r>
        <w:rPr>
          <w:rFonts w:ascii="Arial" w:hAnsi="Arial" w:cs="Arial"/>
        </w:rPr>
        <w:t>35</w:t>
      </w:r>
      <w:r w:rsidRPr="00DF1727">
        <w:rPr>
          <w:rFonts w:ascii="Arial" w:hAnsi="Arial" w:cs="Arial"/>
        </w:rPr>
        <w:t>.</w:t>
      </w:r>
    </w:p>
  </w:footnote>
  <w:footnote w:id="74">
    <w:p w:rsidR="001771F9" w:rsidRPr="00DF1727" w:rsidRDefault="001771F9" w:rsidP="00561905">
      <w:pPr>
        <w:pStyle w:val="Textonotapie"/>
        <w:rPr>
          <w:rFonts w:ascii="Arial" w:hAnsi="Arial" w:cs="Arial"/>
        </w:rPr>
      </w:pPr>
      <w:r w:rsidRPr="00DF1727">
        <w:rPr>
          <w:rStyle w:val="Refdenotaalpie"/>
          <w:rFonts w:ascii="Arial" w:hAnsi="Arial" w:cs="Arial"/>
        </w:rPr>
        <w:footnoteRef/>
      </w:r>
      <w:r w:rsidRPr="00DF1727">
        <w:rPr>
          <w:rFonts w:ascii="Arial" w:hAnsi="Arial" w:cs="Arial"/>
        </w:rPr>
        <w:t xml:space="preserve"> Véase </w:t>
      </w:r>
      <w:r w:rsidRPr="00DF1727">
        <w:rPr>
          <w:rFonts w:ascii="Arial" w:hAnsi="Arial" w:cs="Arial"/>
          <w:i/>
        </w:rPr>
        <w:t>supra</w:t>
      </w:r>
      <w:r>
        <w:rPr>
          <w:rFonts w:ascii="Arial" w:hAnsi="Arial" w:cs="Arial"/>
        </w:rPr>
        <w:t xml:space="preserve"> nota 38</w:t>
      </w:r>
      <w:r w:rsidRPr="00DF1727">
        <w:rPr>
          <w:rFonts w:ascii="Arial" w:hAnsi="Arial" w:cs="Arial"/>
        </w:rPr>
        <w:t>.</w:t>
      </w:r>
    </w:p>
  </w:footnote>
  <w:footnote w:id="75">
    <w:p w:rsidR="001771F9" w:rsidRPr="0035704C" w:rsidRDefault="001771F9" w:rsidP="007B7552">
      <w:pPr>
        <w:pStyle w:val="Textonotapie"/>
        <w:jc w:val="both"/>
        <w:rPr>
          <w:rFonts w:ascii="Arial" w:hAnsi="Arial" w:cs="Arial"/>
        </w:rPr>
      </w:pPr>
      <w:r w:rsidRPr="0035704C">
        <w:rPr>
          <w:rStyle w:val="Refdenotaalpie"/>
          <w:rFonts w:ascii="Arial" w:hAnsi="Arial" w:cs="Arial"/>
        </w:rPr>
        <w:footnoteRef/>
      </w:r>
      <w:r w:rsidRPr="0035704C">
        <w:rPr>
          <w:rFonts w:ascii="Arial" w:hAnsi="Arial" w:cs="Arial"/>
        </w:rPr>
        <w:t xml:space="preserve"> </w:t>
      </w:r>
      <w:r>
        <w:rPr>
          <w:rFonts w:ascii="Arial" w:hAnsi="Arial" w:cs="Arial"/>
        </w:rPr>
        <w:t>Véase la t</w:t>
      </w:r>
      <w:r w:rsidRPr="0035704C">
        <w:rPr>
          <w:rFonts w:ascii="Arial" w:hAnsi="Arial" w:cs="Arial"/>
        </w:rPr>
        <w:t>esis de jurisprudencia</w:t>
      </w:r>
      <w:r>
        <w:rPr>
          <w:rFonts w:ascii="Arial" w:hAnsi="Arial" w:cs="Arial"/>
        </w:rPr>
        <w:t xml:space="preserve"> número P./J.37/2004 del Tribunal Pleno cuyo rubro es </w:t>
      </w:r>
      <w:r w:rsidRPr="007B7552">
        <w:rPr>
          <w:rFonts w:ascii="Arial" w:hAnsi="Arial" w:cs="Arial"/>
          <w:b/>
        </w:rPr>
        <w:t>“ACCIÓN DE INCONSTITUCIONALIDAD. ESTUDIO INNECESARIO DE CONCEPTOS DE INVALIDEZ.”</w:t>
      </w:r>
      <w:r>
        <w:rPr>
          <w:rFonts w:ascii="Arial" w:hAnsi="Arial" w:cs="Arial"/>
        </w:rPr>
        <w:t xml:space="preserve">, </w:t>
      </w:r>
      <w:r w:rsidRPr="0035704C">
        <w:rPr>
          <w:rFonts w:ascii="Arial" w:hAnsi="Arial" w:cs="Arial"/>
          <w:i/>
        </w:rPr>
        <w:t>Semanario Judicial de la Federación y su Gaceta</w:t>
      </w:r>
      <w:r>
        <w:rPr>
          <w:rFonts w:ascii="Arial" w:hAnsi="Arial" w:cs="Arial"/>
        </w:rPr>
        <w:t>, novena época, tomo XIX, junio de dos mil cuatro, pág. 863.</w:t>
      </w:r>
    </w:p>
  </w:footnote>
  <w:footnote w:id="76">
    <w:p w:rsidR="001771F9" w:rsidRPr="0070770D" w:rsidRDefault="001771F9" w:rsidP="003A0333">
      <w:pPr>
        <w:pStyle w:val="Estilo"/>
        <w:ind w:right="333"/>
        <w:rPr>
          <w:rFonts w:cs="Arial"/>
        </w:rPr>
      </w:pPr>
      <w:r w:rsidRPr="0070770D">
        <w:rPr>
          <w:rStyle w:val="Refdenotaalpie"/>
          <w:rFonts w:cs="Arial"/>
          <w:sz w:val="20"/>
          <w:szCs w:val="20"/>
        </w:rPr>
        <w:footnoteRef/>
      </w:r>
      <w:r w:rsidRPr="0070770D">
        <w:rPr>
          <w:rFonts w:cs="Arial"/>
          <w:sz w:val="20"/>
          <w:szCs w:val="20"/>
        </w:rPr>
        <w:t xml:space="preserve"> </w:t>
      </w:r>
      <w:r w:rsidRPr="00432EDB">
        <w:rPr>
          <w:rFonts w:cs="Arial"/>
          <w:sz w:val="20"/>
          <w:szCs w:val="20"/>
          <w:lang w:val="es-ES_tradnl"/>
        </w:rPr>
        <w:t xml:space="preserve">Véase </w:t>
      </w:r>
      <w:r w:rsidRPr="00432EDB">
        <w:rPr>
          <w:rFonts w:cs="Arial"/>
          <w:i/>
          <w:sz w:val="20"/>
          <w:szCs w:val="20"/>
          <w:lang w:val="es-ES_tradnl"/>
        </w:rPr>
        <w:t>supra</w:t>
      </w:r>
      <w:r w:rsidRPr="00432EDB">
        <w:rPr>
          <w:rFonts w:cs="Arial"/>
          <w:sz w:val="20"/>
          <w:szCs w:val="20"/>
          <w:lang w:val="es-ES_tradnl"/>
        </w:rPr>
        <w:t xml:space="preserve"> nota 43.</w:t>
      </w:r>
      <w:r w:rsidRPr="0070770D">
        <w:rPr>
          <w:rFonts w:cs="Arial"/>
          <w:lang w:val="es-ES_tradnl"/>
        </w:rPr>
        <w:t xml:space="preserve"> </w:t>
      </w:r>
    </w:p>
  </w:footnote>
  <w:footnote w:id="77">
    <w:p w:rsidR="001771F9" w:rsidRPr="0070770D" w:rsidRDefault="001771F9" w:rsidP="002C05EA">
      <w:pPr>
        <w:pStyle w:val="Estilo"/>
        <w:ind w:right="333"/>
        <w:rPr>
          <w:rFonts w:cs="Arial"/>
        </w:rPr>
      </w:pPr>
      <w:r w:rsidRPr="0070770D">
        <w:rPr>
          <w:rStyle w:val="Refdenotaalpie"/>
          <w:rFonts w:cs="Arial"/>
          <w:sz w:val="20"/>
          <w:szCs w:val="20"/>
        </w:rPr>
        <w:footnoteRef/>
      </w:r>
      <w:r w:rsidRPr="0070770D">
        <w:rPr>
          <w:rFonts w:cs="Arial"/>
          <w:sz w:val="20"/>
          <w:szCs w:val="20"/>
        </w:rPr>
        <w:t xml:space="preserve"> </w:t>
      </w:r>
      <w:r w:rsidRPr="003906C5">
        <w:rPr>
          <w:rFonts w:cs="Arial"/>
          <w:i/>
          <w:sz w:val="20"/>
          <w:szCs w:val="20"/>
          <w:lang w:val="es-ES_tradnl"/>
        </w:rPr>
        <w:t>Í</w:t>
      </w:r>
      <w:r>
        <w:rPr>
          <w:rFonts w:cs="Arial"/>
          <w:i/>
          <w:sz w:val="20"/>
          <w:szCs w:val="20"/>
          <w:lang w:val="es-ES_tradnl"/>
        </w:rPr>
        <w:t>dem</w:t>
      </w:r>
      <w:r w:rsidRPr="00432EDB">
        <w:rPr>
          <w:rFonts w:cs="Arial"/>
          <w:sz w:val="20"/>
          <w:szCs w:val="20"/>
          <w:lang w:val="es-ES_tradnl"/>
        </w:rPr>
        <w:t>.</w:t>
      </w:r>
      <w:r w:rsidRPr="0070770D">
        <w:rPr>
          <w:rFonts w:cs="Arial"/>
          <w:lang w:val="es-ES_tradnl"/>
        </w:rPr>
        <w:t xml:space="preserve"> </w:t>
      </w:r>
    </w:p>
  </w:footnote>
  <w:footnote w:id="78">
    <w:p w:rsidR="001771F9" w:rsidRDefault="001771F9" w:rsidP="00A4406C">
      <w:pPr>
        <w:pStyle w:val="Estilo"/>
        <w:ind w:right="333"/>
        <w:rPr>
          <w:rFonts w:cs="Arial"/>
          <w:sz w:val="20"/>
          <w:szCs w:val="20"/>
          <w:lang w:val="es-ES_tradnl"/>
        </w:rPr>
      </w:pPr>
      <w:r w:rsidRPr="0070770D">
        <w:rPr>
          <w:rStyle w:val="Refdenotaalpie"/>
          <w:rFonts w:cs="Arial"/>
          <w:sz w:val="20"/>
          <w:szCs w:val="20"/>
        </w:rPr>
        <w:footnoteRef/>
      </w:r>
      <w:r w:rsidRPr="0070770D">
        <w:rPr>
          <w:rFonts w:cs="Arial"/>
          <w:sz w:val="20"/>
          <w:szCs w:val="20"/>
        </w:rPr>
        <w:t xml:space="preserve"> </w:t>
      </w:r>
      <w:r w:rsidRPr="00A4406C">
        <w:rPr>
          <w:rFonts w:cs="Arial"/>
          <w:b/>
          <w:sz w:val="20"/>
          <w:szCs w:val="20"/>
          <w:lang w:val="es-ES_tradnl"/>
        </w:rPr>
        <w:t>Artículo 1°.</w:t>
      </w:r>
      <w:r>
        <w:rPr>
          <w:rFonts w:cs="Arial"/>
          <w:sz w:val="20"/>
          <w:szCs w:val="20"/>
          <w:lang w:val="es-ES_tradnl"/>
        </w:rPr>
        <w:t xml:space="preserve"> </w:t>
      </w:r>
      <w:r w:rsidRPr="00A4406C">
        <w:rPr>
          <w:rFonts w:cs="Arial"/>
          <w:sz w:val="20"/>
          <w:szCs w:val="20"/>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w:t>
      </w:r>
      <w:r>
        <w:rPr>
          <w:rFonts w:cs="Arial"/>
          <w:sz w:val="20"/>
          <w:szCs w:val="20"/>
        </w:rPr>
        <w:t>a Constitución establece</w:t>
      </w:r>
      <w:r>
        <w:rPr>
          <w:rFonts w:cs="Arial"/>
          <w:sz w:val="20"/>
          <w:szCs w:val="20"/>
          <w:lang w:val="es-ES_tradnl"/>
        </w:rPr>
        <w:t>.</w:t>
      </w:r>
    </w:p>
    <w:p w:rsidR="001771F9" w:rsidRPr="00A4406C" w:rsidRDefault="001771F9" w:rsidP="00A4406C">
      <w:pPr>
        <w:pStyle w:val="Estilo"/>
        <w:ind w:right="333"/>
        <w:rPr>
          <w:rFonts w:cs="Arial"/>
          <w:sz w:val="20"/>
          <w:szCs w:val="20"/>
        </w:rPr>
      </w:pPr>
      <w:r>
        <w:rPr>
          <w:rFonts w:cs="Arial"/>
          <w:sz w:val="20"/>
          <w:szCs w:val="20"/>
          <w:lang w:val="es-ES_tradnl"/>
        </w:rPr>
        <w:t>[…]</w:t>
      </w:r>
      <w:r w:rsidRPr="00432EDB">
        <w:rPr>
          <w:rFonts w:cs="Arial"/>
          <w:sz w:val="20"/>
          <w:szCs w:val="20"/>
          <w:lang w:val="es-ES_tradnl"/>
        </w:rPr>
        <w:t xml:space="preserve"> </w:t>
      </w:r>
    </w:p>
  </w:footnote>
  <w:footnote w:id="79">
    <w:p w:rsidR="001771F9" w:rsidRDefault="001771F9" w:rsidP="00BB2B83">
      <w:pPr>
        <w:pStyle w:val="Textonotapie"/>
        <w:jc w:val="both"/>
        <w:rPr>
          <w:rFonts w:ascii="Arial" w:hAnsi="Arial" w:cs="Arial"/>
          <w:b/>
        </w:rPr>
      </w:pPr>
      <w:r w:rsidRPr="00581CF9">
        <w:rPr>
          <w:rStyle w:val="Refdenotaalpie"/>
          <w:rFonts w:ascii="Arial" w:hAnsi="Arial" w:cs="Arial"/>
        </w:rPr>
        <w:footnoteRef/>
      </w:r>
      <w:r>
        <w:rPr>
          <w:rFonts w:ascii="Arial" w:hAnsi="Arial" w:cs="Arial"/>
        </w:rPr>
        <w:t xml:space="preserve"> </w:t>
      </w:r>
      <w:r w:rsidRPr="0093645A">
        <w:rPr>
          <w:rFonts w:ascii="Arial" w:hAnsi="Arial" w:cs="Arial"/>
          <w:b/>
        </w:rPr>
        <w:t>Artículo 34.</w:t>
      </w:r>
      <w:r>
        <w:rPr>
          <w:rFonts w:ascii="Arial" w:hAnsi="Arial" w:cs="Arial"/>
          <w:b/>
        </w:rPr>
        <w:t xml:space="preserve"> Comité sobre los derechos de las personas con discapacidad</w:t>
      </w:r>
    </w:p>
    <w:p w:rsidR="001771F9" w:rsidRPr="0093645A" w:rsidRDefault="001771F9" w:rsidP="00BB2B83">
      <w:pPr>
        <w:pStyle w:val="Textonotapie"/>
        <w:jc w:val="both"/>
        <w:rPr>
          <w:rFonts w:ascii="Arial" w:hAnsi="Arial" w:cs="Arial"/>
        </w:rPr>
      </w:pPr>
      <w:r w:rsidRPr="0093645A">
        <w:rPr>
          <w:rFonts w:ascii="Arial" w:hAnsi="Arial" w:cs="Arial"/>
        </w:rPr>
        <w:t>1.</w:t>
      </w:r>
      <w:r w:rsidRPr="0093645A">
        <w:t xml:space="preserve"> </w:t>
      </w:r>
      <w:r w:rsidRPr="0093645A">
        <w:rPr>
          <w:rFonts w:ascii="Arial" w:hAnsi="Arial" w:cs="Arial"/>
        </w:rPr>
        <w:t>Se creará un Comité sobre los Derechos d</w:t>
      </w:r>
      <w:r>
        <w:rPr>
          <w:rFonts w:ascii="Arial" w:hAnsi="Arial" w:cs="Arial"/>
        </w:rPr>
        <w:t xml:space="preserve">e las Personas con Discapacidad </w:t>
      </w:r>
      <w:r w:rsidRPr="0093645A">
        <w:rPr>
          <w:rFonts w:ascii="Arial" w:hAnsi="Arial" w:cs="Arial"/>
        </w:rPr>
        <w:t xml:space="preserve">(en adelante, “el Comité”) que desempeñará </w:t>
      </w:r>
      <w:r>
        <w:rPr>
          <w:rFonts w:ascii="Arial" w:hAnsi="Arial" w:cs="Arial"/>
        </w:rPr>
        <w:t xml:space="preserve">las funciones que se enuncian a </w:t>
      </w:r>
      <w:r w:rsidRPr="0093645A">
        <w:rPr>
          <w:rFonts w:ascii="Arial" w:hAnsi="Arial" w:cs="Arial"/>
        </w:rPr>
        <w:t xml:space="preserve">continuación. </w:t>
      </w:r>
    </w:p>
    <w:p w:rsidR="001771F9" w:rsidRPr="0093645A" w:rsidRDefault="001771F9" w:rsidP="00BB2B83">
      <w:pPr>
        <w:pStyle w:val="Textonotapie"/>
        <w:jc w:val="both"/>
        <w:rPr>
          <w:rFonts w:ascii="Arial" w:hAnsi="Arial" w:cs="Arial"/>
        </w:rPr>
      </w:pPr>
      <w:r w:rsidRPr="0093645A">
        <w:rPr>
          <w:rFonts w:ascii="Arial" w:hAnsi="Arial" w:cs="Arial"/>
        </w:rPr>
        <w:t xml:space="preserve">[…] </w:t>
      </w:r>
    </w:p>
    <w:p w:rsidR="001771F9" w:rsidRDefault="001771F9" w:rsidP="00BB2B83">
      <w:pPr>
        <w:pStyle w:val="Textonotapie"/>
        <w:jc w:val="both"/>
        <w:rPr>
          <w:rFonts w:ascii="Arial" w:hAnsi="Arial" w:cs="Arial"/>
        </w:rPr>
      </w:pPr>
      <w:r w:rsidRPr="0093645A">
        <w:rPr>
          <w:rFonts w:ascii="Arial" w:hAnsi="Arial" w:cs="Arial"/>
          <w:b/>
        </w:rPr>
        <w:t>Artículo 35.</w:t>
      </w:r>
      <w:r>
        <w:rPr>
          <w:rFonts w:ascii="Arial" w:hAnsi="Arial" w:cs="Arial"/>
          <w:b/>
        </w:rPr>
        <w:t xml:space="preserve"> Informes presentados por los Estados Partes</w:t>
      </w:r>
      <w:r>
        <w:rPr>
          <w:rFonts w:ascii="Arial" w:hAnsi="Arial" w:cs="Arial"/>
        </w:rPr>
        <w:t xml:space="preserve"> </w:t>
      </w:r>
    </w:p>
    <w:p w:rsidR="001771F9" w:rsidRDefault="001771F9" w:rsidP="00BB2B83">
      <w:pPr>
        <w:pStyle w:val="Textonotapie"/>
        <w:jc w:val="both"/>
        <w:rPr>
          <w:rFonts w:ascii="Arial" w:hAnsi="Arial" w:cs="Arial"/>
        </w:rPr>
      </w:pPr>
      <w:r w:rsidRPr="0093645A">
        <w:rPr>
          <w:rFonts w:ascii="Arial" w:hAnsi="Arial" w:cs="Arial"/>
        </w:rPr>
        <w:t>1.</w:t>
      </w:r>
      <w:r>
        <w:rPr>
          <w:rFonts w:ascii="TimesNewRoman" w:hAnsi="TimesNewRoman" w:cs="TimesNewRoman"/>
        </w:rPr>
        <w:t xml:space="preserve"> </w:t>
      </w:r>
      <w:r w:rsidRPr="0093645A">
        <w:rPr>
          <w:rFonts w:ascii="Arial" w:hAnsi="Arial" w:cs="Arial"/>
        </w:rPr>
        <w:t>Los Estados Partes presentarán al Comi</w:t>
      </w:r>
      <w:r>
        <w:rPr>
          <w:rFonts w:ascii="Arial" w:hAnsi="Arial" w:cs="Arial"/>
        </w:rPr>
        <w:t xml:space="preserve">té, por conducto del Secretario </w:t>
      </w:r>
      <w:r w:rsidRPr="0093645A">
        <w:rPr>
          <w:rFonts w:ascii="Arial" w:hAnsi="Arial" w:cs="Arial"/>
        </w:rPr>
        <w:t>General de las Naciones Unidas, un informe e</w:t>
      </w:r>
      <w:r>
        <w:rPr>
          <w:rFonts w:ascii="Arial" w:hAnsi="Arial" w:cs="Arial"/>
        </w:rPr>
        <w:t xml:space="preserve">xhaustivo sobre las medidas que </w:t>
      </w:r>
      <w:r w:rsidRPr="0093645A">
        <w:rPr>
          <w:rFonts w:ascii="Arial" w:hAnsi="Arial" w:cs="Arial"/>
        </w:rPr>
        <w:t>hayan adoptado para cumplir sus obli</w:t>
      </w:r>
      <w:r>
        <w:rPr>
          <w:rFonts w:ascii="Arial" w:hAnsi="Arial" w:cs="Arial"/>
        </w:rPr>
        <w:t xml:space="preserve">gaciones conforme a la presente </w:t>
      </w:r>
      <w:r w:rsidRPr="0093645A">
        <w:rPr>
          <w:rFonts w:ascii="Arial" w:hAnsi="Arial" w:cs="Arial"/>
        </w:rPr>
        <w:t>Convención y sobre los progresos realizados al respecto en el plaz</w:t>
      </w:r>
      <w:r>
        <w:rPr>
          <w:rFonts w:ascii="Arial" w:hAnsi="Arial" w:cs="Arial"/>
        </w:rPr>
        <w:t xml:space="preserve">o de dos años </w:t>
      </w:r>
      <w:r w:rsidRPr="0093645A">
        <w:rPr>
          <w:rFonts w:ascii="Arial" w:hAnsi="Arial" w:cs="Arial"/>
        </w:rPr>
        <w:t>contado a partir de la entrada en vigor de la p</w:t>
      </w:r>
      <w:r>
        <w:rPr>
          <w:rFonts w:ascii="Arial" w:hAnsi="Arial" w:cs="Arial"/>
        </w:rPr>
        <w:t>resente Convención en el Estado Parte de que se trate.</w:t>
      </w:r>
    </w:p>
    <w:p w:rsidR="001771F9" w:rsidRDefault="001771F9" w:rsidP="00BB2B83">
      <w:pPr>
        <w:pStyle w:val="Textonotapie"/>
        <w:jc w:val="both"/>
        <w:rPr>
          <w:rFonts w:ascii="Arial" w:hAnsi="Arial" w:cs="Arial"/>
        </w:rPr>
      </w:pPr>
      <w:r w:rsidRPr="0093645A">
        <w:rPr>
          <w:rFonts w:ascii="Arial" w:hAnsi="Arial" w:cs="Arial"/>
        </w:rPr>
        <w:t>2. Posteriormente, los Estados Partes pre</w:t>
      </w:r>
      <w:r>
        <w:rPr>
          <w:rFonts w:ascii="Arial" w:hAnsi="Arial" w:cs="Arial"/>
        </w:rPr>
        <w:t xml:space="preserve">sentarán informes ulteriores al </w:t>
      </w:r>
      <w:r w:rsidRPr="0093645A">
        <w:rPr>
          <w:rFonts w:ascii="Arial" w:hAnsi="Arial" w:cs="Arial"/>
        </w:rPr>
        <w:t>menos cada cuatro años y en las demás ocasiones en que el Comité se</w:t>
      </w:r>
      <w:r>
        <w:rPr>
          <w:rFonts w:ascii="Arial" w:hAnsi="Arial" w:cs="Arial"/>
        </w:rPr>
        <w:t xml:space="preserve"> lo solicite.</w:t>
      </w:r>
    </w:p>
    <w:p w:rsidR="001771F9" w:rsidRDefault="001771F9" w:rsidP="00BB2B83">
      <w:pPr>
        <w:pStyle w:val="Textonotapie"/>
        <w:jc w:val="both"/>
        <w:rPr>
          <w:rFonts w:ascii="Arial" w:hAnsi="Arial" w:cs="Arial"/>
        </w:rPr>
      </w:pPr>
      <w:r w:rsidRPr="0093645A">
        <w:rPr>
          <w:rFonts w:ascii="Arial" w:hAnsi="Arial" w:cs="Arial"/>
        </w:rPr>
        <w:t>3. El Comité decidirá las directrices aplicables al contenido de los informes.</w:t>
      </w:r>
    </w:p>
    <w:p w:rsidR="001771F9" w:rsidRPr="00581CF9" w:rsidRDefault="001771F9" w:rsidP="00BB2B83">
      <w:pPr>
        <w:pStyle w:val="Textonotapie"/>
        <w:jc w:val="both"/>
        <w:rPr>
          <w:rFonts w:ascii="Arial" w:hAnsi="Arial" w:cs="Arial"/>
        </w:rPr>
      </w:pPr>
      <w:r>
        <w:rPr>
          <w:rFonts w:ascii="Arial" w:hAnsi="Arial" w:cs="Arial"/>
        </w:rPr>
        <w:t>[…].</w:t>
      </w:r>
    </w:p>
  </w:footnote>
  <w:footnote w:id="80">
    <w:p w:rsidR="001771F9" w:rsidRPr="00581CF9" w:rsidRDefault="001771F9" w:rsidP="00581CF9">
      <w:pPr>
        <w:pStyle w:val="Textonotapie"/>
        <w:jc w:val="both"/>
        <w:rPr>
          <w:rFonts w:ascii="Arial" w:hAnsi="Arial" w:cs="Arial"/>
        </w:rPr>
      </w:pPr>
      <w:r w:rsidRPr="00581CF9">
        <w:rPr>
          <w:rStyle w:val="Refdenotaalpie"/>
          <w:rFonts w:ascii="Arial" w:hAnsi="Arial" w:cs="Arial"/>
        </w:rPr>
        <w:footnoteRef/>
      </w:r>
      <w:r w:rsidRPr="00581CF9">
        <w:rPr>
          <w:rFonts w:ascii="Arial" w:hAnsi="Arial" w:cs="Arial"/>
        </w:rPr>
        <w:t xml:space="preserve"> Véase la Observación general núm. 7 (2018) sobre la participación de las personas con discapacidad, incluidos los niños y las niñas con discapacidad, a través de las organizaciones que las representan, en la aplicación y el seguimiento de la Convención</w:t>
      </w:r>
      <w:r>
        <w:rPr>
          <w:rFonts w:ascii="Arial" w:hAnsi="Arial" w:cs="Arial"/>
        </w:rPr>
        <w:t>, a</w:t>
      </w:r>
      <w:r w:rsidRPr="00097996">
        <w:rPr>
          <w:rFonts w:ascii="Arial" w:hAnsi="Arial" w:cs="Arial"/>
        </w:rPr>
        <w:t>probada por el Comité</w:t>
      </w:r>
      <w:r>
        <w:rPr>
          <w:rFonts w:ascii="Arial" w:hAnsi="Arial" w:cs="Arial"/>
        </w:rPr>
        <w:t xml:space="preserve"> </w:t>
      </w:r>
      <w:r w:rsidRPr="00097996">
        <w:rPr>
          <w:rFonts w:ascii="Arial" w:hAnsi="Arial" w:cs="Arial"/>
        </w:rPr>
        <w:t xml:space="preserve">en su </w:t>
      </w:r>
      <w:r>
        <w:rPr>
          <w:rFonts w:ascii="Arial" w:hAnsi="Arial" w:cs="Arial"/>
        </w:rPr>
        <w:t>vigésimo</w:t>
      </w:r>
      <w:r w:rsidRPr="00097996">
        <w:rPr>
          <w:rFonts w:ascii="Arial" w:hAnsi="Arial" w:cs="Arial"/>
        </w:rPr>
        <w:t xml:space="preserve"> período de sesiones (</w:t>
      </w:r>
      <w:r>
        <w:rPr>
          <w:rFonts w:ascii="Arial" w:hAnsi="Arial" w:cs="Arial"/>
        </w:rPr>
        <w:t>veintisiete</w:t>
      </w:r>
      <w:r w:rsidRPr="00097996">
        <w:rPr>
          <w:rFonts w:ascii="Arial" w:hAnsi="Arial" w:cs="Arial"/>
        </w:rPr>
        <w:t xml:space="preserve"> de agosto a </w:t>
      </w:r>
      <w:r>
        <w:rPr>
          <w:rFonts w:ascii="Arial" w:hAnsi="Arial" w:cs="Arial"/>
        </w:rPr>
        <w:t>veintiuno</w:t>
      </w:r>
      <w:r w:rsidRPr="00097996">
        <w:rPr>
          <w:rFonts w:ascii="Arial" w:hAnsi="Arial" w:cs="Arial"/>
        </w:rPr>
        <w:t xml:space="preserve"> de septiembre de </w:t>
      </w:r>
      <w:r>
        <w:rPr>
          <w:rFonts w:ascii="Arial" w:hAnsi="Arial" w:cs="Arial"/>
        </w:rPr>
        <w:t>dos mil dieciocho</w:t>
      </w:r>
      <w:r w:rsidRPr="00097996">
        <w:rPr>
          <w:rFonts w:ascii="Arial" w:hAnsi="Arial" w:cs="Arial"/>
        </w:rPr>
        <w:t>)</w:t>
      </w:r>
      <w:r>
        <w:rPr>
          <w:rFonts w:ascii="Arial" w:hAnsi="Arial" w:cs="Arial"/>
        </w:rPr>
        <w:t>,</w:t>
      </w:r>
      <w:r w:rsidRPr="00603A9F">
        <w:rPr>
          <w:rFonts w:ascii="Arial" w:hAnsi="Arial" w:cs="Arial"/>
        </w:rPr>
        <w:t xml:space="preserve"> </w:t>
      </w:r>
      <w:r>
        <w:rPr>
          <w:rFonts w:ascii="Arial" w:hAnsi="Arial" w:cs="Arial"/>
        </w:rPr>
        <w:t xml:space="preserve">documento número </w:t>
      </w:r>
      <w:r w:rsidRPr="00603A9F">
        <w:rPr>
          <w:rFonts w:ascii="Arial" w:hAnsi="Arial" w:cs="Arial"/>
        </w:rPr>
        <w:t>CRPD/C/GC/7</w:t>
      </w:r>
      <w:r>
        <w:rPr>
          <w:rFonts w:ascii="Arial" w:hAnsi="Arial" w:cs="Arial"/>
        </w:rPr>
        <w:t xml:space="preserve">, disponible en el sitio web: </w:t>
      </w:r>
      <w:hyperlink r:id="rId2" w:history="1">
        <w:r w:rsidRPr="00C11931">
          <w:rPr>
            <w:rStyle w:val="Hipervnculo"/>
            <w:rFonts w:ascii="Arial" w:hAnsi="Arial" w:cs="Arial"/>
          </w:rPr>
          <w:t>https://www.ohchr.org/EN/HRBodies/CRPD/Pages/ConventionRightsPersonsWithDisabilities.aspx</w:t>
        </w:r>
      </w:hyperlink>
      <w:r>
        <w:rPr>
          <w:rFonts w:ascii="Arial" w:hAnsi="Arial" w:cs="Arial"/>
        </w:rPr>
        <w:t>.</w:t>
      </w:r>
    </w:p>
  </w:footnote>
  <w:footnote w:id="81">
    <w:p w:rsidR="001771F9" w:rsidRPr="00603A9F" w:rsidRDefault="001771F9">
      <w:pPr>
        <w:pStyle w:val="Textonotapie"/>
        <w:rPr>
          <w:rFonts w:ascii="Arial" w:hAnsi="Arial" w:cs="Arial"/>
        </w:rPr>
      </w:pPr>
      <w:r w:rsidRPr="00603A9F">
        <w:rPr>
          <w:rStyle w:val="Refdenotaalpie"/>
          <w:rFonts w:ascii="Arial" w:hAnsi="Arial" w:cs="Arial"/>
        </w:rPr>
        <w:footnoteRef/>
      </w:r>
      <w:r w:rsidRPr="00603A9F">
        <w:rPr>
          <w:rFonts w:ascii="Arial" w:hAnsi="Arial" w:cs="Arial"/>
        </w:rPr>
        <w:t xml:space="preserve"> V</w:t>
      </w:r>
      <w:r>
        <w:rPr>
          <w:rFonts w:ascii="Arial" w:hAnsi="Arial" w:cs="Arial"/>
        </w:rPr>
        <w:t xml:space="preserve">éase </w:t>
      </w:r>
      <w:r w:rsidRPr="00603A9F">
        <w:rPr>
          <w:rFonts w:ascii="Arial" w:hAnsi="Arial" w:cs="Arial"/>
          <w:i/>
        </w:rPr>
        <w:t>ibíd.</w:t>
      </w:r>
      <w:r w:rsidRPr="00603A9F">
        <w:rPr>
          <w:rFonts w:ascii="Arial" w:hAnsi="Arial" w:cs="Arial"/>
        </w:rPr>
        <w:t>, pág. 6.</w:t>
      </w:r>
    </w:p>
  </w:footnote>
  <w:footnote w:id="82">
    <w:p w:rsidR="001771F9" w:rsidRPr="00603A9F" w:rsidRDefault="001771F9" w:rsidP="009D05E5">
      <w:pPr>
        <w:pStyle w:val="Textonotapie"/>
        <w:rPr>
          <w:rFonts w:ascii="Arial" w:hAnsi="Arial" w:cs="Arial"/>
        </w:rPr>
      </w:pPr>
      <w:r w:rsidRPr="00603A9F">
        <w:rPr>
          <w:rStyle w:val="Refdenotaalpie"/>
          <w:rFonts w:ascii="Arial" w:hAnsi="Arial" w:cs="Arial"/>
        </w:rPr>
        <w:footnoteRef/>
      </w:r>
      <w:r w:rsidRPr="00603A9F">
        <w:rPr>
          <w:rFonts w:ascii="Arial" w:hAnsi="Arial" w:cs="Arial"/>
        </w:rPr>
        <w:t xml:space="preserve"> V</w:t>
      </w:r>
      <w:r>
        <w:rPr>
          <w:rFonts w:ascii="Arial" w:hAnsi="Arial" w:cs="Arial"/>
        </w:rPr>
        <w:t xml:space="preserve">éase </w:t>
      </w:r>
      <w:r w:rsidRPr="00603A9F">
        <w:rPr>
          <w:rFonts w:ascii="Arial" w:hAnsi="Arial" w:cs="Arial"/>
          <w:i/>
        </w:rPr>
        <w:t>íd</w:t>
      </w:r>
      <w:r>
        <w:rPr>
          <w:rFonts w:ascii="Arial" w:hAnsi="Arial" w:cs="Arial"/>
          <w:i/>
        </w:rPr>
        <w:t>em</w:t>
      </w:r>
      <w:r w:rsidRPr="00603A9F">
        <w:rPr>
          <w:rFonts w:ascii="Arial" w:hAnsi="Arial" w:cs="Arial"/>
        </w:rPr>
        <w:t>.</w:t>
      </w:r>
    </w:p>
  </w:footnote>
  <w:footnote w:id="83">
    <w:p w:rsidR="001771F9" w:rsidRPr="00603A9F" w:rsidRDefault="001771F9" w:rsidP="002C5038">
      <w:pPr>
        <w:pStyle w:val="Textonotapie"/>
        <w:rPr>
          <w:rFonts w:ascii="Arial" w:hAnsi="Arial" w:cs="Arial"/>
        </w:rPr>
      </w:pPr>
      <w:r w:rsidRPr="00603A9F">
        <w:rPr>
          <w:rStyle w:val="Refdenotaalpie"/>
          <w:rFonts w:ascii="Arial" w:hAnsi="Arial" w:cs="Arial"/>
        </w:rPr>
        <w:footnoteRef/>
      </w:r>
      <w:r w:rsidRPr="00603A9F">
        <w:rPr>
          <w:rFonts w:ascii="Arial" w:hAnsi="Arial" w:cs="Arial"/>
        </w:rPr>
        <w:t xml:space="preserve"> V</w:t>
      </w:r>
      <w:r>
        <w:rPr>
          <w:rFonts w:ascii="Arial" w:hAnsi="Arial" w:cs="Arial"/>
        </w:rPr>
        <w:t xml:space="preserve">éase </w:t>
      </w:r>
      <w:r w:rsidRPr="00603A9F">
        <w:rPr>
          <w:rFonts w:ascii="Arial" w:hAnsi="Arial" w:cs="Arial"/>
          <w:i/>
        </w:rPr>
        <w:t>íd</w:t>
      </w:r>
      <w:r>
        <w:rPr>
          <w:rFonts w:ascii="Arial" w:hAnsi="Arial" w:cs="Arial"/>
          <w:i/>
        </w:rPr>
        <w:t>em</w:t>
      </w:r>
      <w:r w:rsidRPr="00603A9F">
        <w:rPr>
          <w:rFonts w:ascii="Arial" w:hAnsi="Arial" w:cs="Arial"/>
        </w:rPr>
        <w:t>.</w:t>
      </w:r>
    </w:p>
  </w:footnote>
  <w:footnote w:id="84">
    <w:p w:rsidR="001771F9" w:rsidRPr="0070770D" w:rsidRDefault="001771F9" w:rsidP="00561616">
      <w:pPr>
        <w:pStyle w:val="Textonotapie"/>
        <w:jc w:val="both"/>
        <w:rPr>
          <w:rFonts w:ascii="Arial" w:hAnsi="Arial" w:cs="Arial"/>
        </w:rPr>
      </w:pPr>
      <w:r w:rsidRPr="00561616">
        <w:rPr>
          <w:rStyle w:val="Refdenotaalpie"/>
          <w:rFonts w:ascii="Arial" w:hAnsi="Arial" w:cs="Arial"/>
        </w:rPr>
        <w:footnoteRef/>
      </w:r>
      <w:r w:rsidRPr="00561616">
        <w:rPr>
          <w:rFonts w:ascii="Arial" w:hAnsi="Arial" w:cs="Arial"/>
        </w:rPr>
        <w:t xml:space="preserve"> </w:t>
      </w:r>
      <w:bookmarkStart w:id="4" w:name="_Hlk53141654"/>
      <w:r>
        <w:rPr>
          <w:rFonts w:ascii="Arial" w:hAnsi="Arial" w:cs="Arial"/>
        </w:rPr>
        <w:t>R</w:t>
      </w:r>
      <w:r w:rsidRPr="0070770D">
        <w:rPr>
          <w:rFonts w:ascii="Arial" w:hAnsi="Arial" w:cs="Arial"/>
        </w:rPr>
        <w:t xml:space="preserve">esuelta el veintisiete </w:t>
      </w:r>
      <w:r>
        <w:rPr>
          <w:rFonts w:ascii="Arial" w:hAnsi="Arial" w:cs="Arial"/>
        </w:rPr>
        <w:t>de agosto de dos mil diecinueve,</w:t>
      </w:r>
      <w:r w:rsidRPr="0070770D">
        <w:rPr>
          <w:rFonts w:ascii="Arial" w:hAnsi="Arial" w:cs="Arial"/>
        </w:rPr>
        <w:t xml:space="preserve"> </w:t>
      </w:r>
      <w:r>
        <w:rPr>
          <w:rFonts w:ascii="Arial" w:hAnsi="Arial" w:cs="Arial"/>
        </w:rPr>
        <w:t xml:space="preserve">en este punto por unanimidad de diez votos. En este asunto se resolvió </w:t>
      </w:r>
      <w:r w:rsidRPr="0070770D">
        <w:rPr>
          <w:rFonts w:ascii="Arial" w:hAnsi="Arial" w:cs="Arial"/>
        </w:rPr>
        <w:t>invalidar la totalidad de la Ley para la Atención Integral de las Personas con Síndrome de Down para el Estado de Morelos.</w:t>
      </w:r>
      <w:bookmarkEnd w:id="4"/>
    </w:p>
  </w:footnote>
  <w:footnote w:id="85">
    <w:p w:rsidR="001771F9" w:rsidRPr="0070770D" w:rsidRDefault="001771F9" w:rsidP="006A39F7">
      <w:pPr>
        <w:pStyle w:val="Textonotapie"/>
        <w:jc w:val="both"/>
        <w:rPr>
          <w:rFonts w:ascii="Arial" w:hAnsi="Arial" w:cs="Arial"/>
        </w:rPr>
      </w:pPr>
      <w:r w:rsidRPr="00561616">
        <w:rPr>
          <w:rStyle w:val="Refdenotaalpie"/>
          <w:rFonts w:ascii="Arial" w:hAnsi="Arial" w:cs="Arial"/>
        </w:rPr>
        <w:footnoteRef/>
      </w:r>
      <w:r w:rsidRPr="00561616">
        <w:rPr>
          <w:rFonts w:ascii="Arial" w:hAnsi="Arial" w:cs="Arial"/>
        </w:rPr>
        <w:t xml:space="preserve"> </w:t>
      </w:r>
      <w:r>
        <w:rPr>
          <w:rFonts w:ascii="Arial" w:hAnsi="Arial" w:cs="Arial"/>
        </w:rPr>
        <w:t>Véase la acción de inconstitucionalidad 101/2016, párr. 50.</w:t>
      </w:r>
    </w:p>
  </w:footnote>
  <w:footnote w:id="86">
    <w:p w:rsidR="001771F9" w:rsidRPr="00390007" w:rsidRDefault="001771F9" w:rsidP="00ED3ADD">
      <w:pPr>
        <w:pStyle w:val="Textonotapie"/>
        <w:jc w:val="both"/>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 xml:space="preserve">Resuelta el veintisiete de agosto de dos mil diecinueve, en este punto por mayoría de nueve votos. En dicho asunto se invalidó el </w:t>
      </w:r>
      <w:r w:rsidRPr="0070770D">
        <w:rPr>
          <w:rFonts w:ascii="Arial" w:hAnsi="Arial" w:cs="Arial"/>
        </w:rPr>
        <w:t>Decreto 1033 mediante el cual se reformaron los artículos 11 y 40 de la Ley para la Inclusión de las Personas con Discapacidad en el Estado y Municipios de San Luis Potosí</w:t>
      </w:r>
      <w:r>
        <w:rPr>
          <w:rFonts w:ascii="Arial" w:hAnsi="Arial" w:cs="Arial"/>
        </w:rPr>
        <w:t>.</w:t>
      </w:r>
    </w:p>
  </w:footnote>
  <w:footnote w:id="87">
    <w:p w:rsidR="001771F9" w:rsidRPr="0070770D" w:rsidRDefault="001771F9" w:rsidP="006A39F7">
      <w:pPr>
        <w:pStyle w:val="Textonotapie"/>
        <w:jc w:val="both"/>
        <w:rPr>
          <w:rFonts w:ascii="Arial" w:hAnsi="Arial" w:cs="Arial"/>
        </w:rPr>
      </w:pPr>
      <w:r w:rsidRPr="00561616">
        <w:rPr>
          <w:rStyle w:val="Refdenotaalpie"/>
          <w:rFonts w:ascii="Arial" w:hAnsi="Arial" w:cs="Arial"/>
        </w:rPr>
        <w:footnoteRef/>
      </w:r>
      <w:r w:rsidRPr="00561616">
        <w:rPr>
          <w:rFonts w:ascii="Arial" w:hAnsi="Arial" w:cs="Arial"/>
        </w:rPr>
        <w:t xml:space="preserve"> </w:t>
      </w:r>
      <w:r>
        <w:rPr>
          <w:rFonts w:ascii="Arial" w:hAnsi="Arial" w:cs="Arial"/>
        </w:rPr>
        <w:t xml:space="preserve">Véase la acción de inconstitucionalidad 68/2018, párr. 38.  </w:t>
      </w:r>
      <w:r w:rsidRPr="0070770D">
        <w:rPr>
          <w:rFonts w:ascii="Arial" w:hAnsi="Arial" w:cs="Arial"/>
        </w:rPr>
        <w:t xml:space="preserve"> </w:t>
      </w:r>
    </w:p>
  </w:footnote>
  <w:footnote w:id="88">
    <w:p w:rsidR="001771F9" w:rsidRPr="00390007" w:rsidRDefault="001771F9" w:rsidP="0054360F">
      <w:pPr>
        <w:pStyle w:val="Textonotapie"/>
        <w:jc w:val="both"/>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 xml:space="preserve">Resuelta el uno de octubre de dos mil diecinueve, en este punto por mayoría de ocho votos. En dicho asunto se declaró la invalidez del </w:t>
      </w:r>
      <w:r w:rsidRPr="0054360F">
        <w:rPr>
          <w:rFonts w:ascii="Arial" w:hAnsi="Arial" w:cs="Arial"/>
        </w:rPr>
        <w:t xml:space="preserve">Decreto 174 por el que se crea la Ley para la Atención y Protección de las Personas con la Condición del Espectro Autista y/o Trastornos del </w:t>
      </w:r>
      <w:r w:rsidRPr="0054360F">
        <w:rPr>
          <w:rFonts w:ascii="Arial" w:hAnsi="Arial" w:cs="Arial"/>
        </w:rPr>
        <w:t>Neurodesarrollo del Estado de Nuevo León</w:t>
      </w:r>
      <w:r>
        <w:rPr>
          <w:rFonts w:ascii="Arial" w:hAnsi="Arial" w:cs="Arial"/>
        </w:rPr>
        <w:t>.</w:t>
      </w:r>
    </w:p>
  </w:footnote>
  <w:footnote w:id="89">
    <w:p w:rsidR="001771F9" w:rsidRPr="0070770D" w:rsidRDefault="001771F9" w:rsidP="00B73E02">
      <w:pPr>
        <w:pStyle w:val="Textonotapie"/>
        <w:jc w:val="both"/>
        <w:rPr>
          <w:rFonts w:ascii="Arial" w:hAnsi="Arial" w:cs="Arial"/>
        </w:rPr>
      </w:pPr>
      <w:r w:rsidRPr="00561616">
        <w:rPr>
          <w:rStyle w:val="Refdenotaalpie"/>
          <w:rFonts w:ascii="Arial" w:hAnsi="Arial" w:cs="Arial"/>
        </w:rPr>
        <w:footnoteRef/>
      </w:r>
      <w:r w:rsidRPr="00561616">
        <w:rPr>
          <w:rFonts w:ascii="Arial" w:hAnsi="Arial" w:cs="Arial"/>
        </w:rPr>
        <w:t xml:space="preserve"> </w:t>
      </w:r>
      <w:r>
        <w:rPr>
          <w:rFonts w:ascii="Arial" w:hAnsi="Arial" w:cs="Arial"/>
        </w:rPr>
        <w:t xml:space="preserve">Véase la acción de inconstitucionalidad 1/2017, párr. 24.  </w:t>
      </w:r>
      <w:r w:rsidRPr="0070770D">
        <w:rPr>
          <w:rFonts w:ascii="Arial" w:hAnsi="Arial" w:cs="Arial"/>
        </w:rPr>
        <w:t xml:space="preserve"> </w:t>
      </w:r>
    </w:p>
  </w:footnote>
  <w:footnote w:id="90">
    <w:p w:rsidR="001771F9" w:rsidRPr="00390007" w:rsidRDefault="001771F9" w:rsidP="005C4C61">
      <w:pPr>
        <w:pStyle w:val="Textonotapie"/>
        <w:jc w:val="both"/>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 xml:space="preserve">Resuelta el veinte de abril de dos mil veinte, en este punto por unanimidad de once votos. En este asunto se declaró la invalidez de </w:t>
      </w:r>
      <w:r w:rsidRPr="005C4C61">
        <w:rPr>
          <w:rFonts w:ascii="Arial" w:hAnsi="Arial" w:cs="Arial"/>
        </w:rPr>
        <w:t>la</w:t>
      </w:r>
      <w:r>
        <w:rPr>
          <w:rFonts w:ascii="Arial" w:hAnsi="Arial" w:cs="Arial"/>
        </w:rPr>
        <w:t xml:space="preserve"> totalidad de la</w:t>
      </w:r>
      <w:r w:rsidRPr="005C4C61">
        <w:rPr>
          <w:rFonts w:ascii="Arial" w:hAnsi="Arial" w:cs="Arial"/>
        </w:rPr>
        <w:t xml:space="preserve"> Ley de Asistencia Social para el Estado y Municipios de San Luis Potosí</w:t>
      </w:r>
      <w:r>
        <w:rPr>
          <w:rFonts w:ascii="Arial" w:hAnsi="Arial" w:cs="Arial"/>
        </w:rPr>
        <w:t>.</w:t>
      </w:r>
    </w:p>
  </w:footnote>
  <w:footnote w:id="91">
    <w:p w:rsidR="001771F9" w:rsidRPr="0070770D" w:rsidRDefault="001771F9" w:rsidP="005C4C61">
      <w:pPr>
        <w:pStyle w:val="Textonotapie"/>
        <w:jc w:val="both"/>
        <w:rPr>
          <w:rFonts w:ascii="Arial" w:hAnsi="Arial" w:cs="Arial"/>
        </w:rPr>
      </w:pPr>
      <w:r w:rsidRPr="00561616">
        <w:rPr>
          <w:rStyle w:val="Refdenotaalpie"/>
          <w:rFonts w:ascii="Arial" w:hAnsi="Arial" w:cs="Arial"/>
        </w:rPr>
        <w:footnoteRef/>
      </w:r>
      <w:r w:rsidRPr="00561616">
        <w:rPr>
          <w:rFonts w:ascii="Arial" w:hAnsi="Arial" w:cs="Arial"/>
        </w:rPr>
        <w:t xml:space="preserve"> </w:t>
      </w:r>
      <w:r>
        <w:rPr>
          <w:rFonts w:ascii="Arial" w:hAnsi="Arial" w:cs="Arial"/>
        </w:rPr>
        <w:t xml:space="preserve">Véase la acción de inconstitucionalidad 80/2017 y su acumulada, párr. 37.  </w:t>
      </w:r>
      <w:r w:rsidRPr="0070770D">
        <w:rPr>
          <w:rFonts w:ascii="Arial" w:hAnsi="Arial" w:cs="Arial"/>
        </w:rPr>
        <w:t xml:space="preserve"> </w:t>
      </w:r>
    </w:p>
  </w:footnote>
  <w:footnote w:id="92">
    <w:p w:rsidR="001771F9" w:rsidRPr="0070770D" w:rsidRDefault="001771F9" w:rsidP="00E870BD">
      <w:pPr>
        <w:pStyle w:val="Textonotapie"/>
        <w:jc w:val="both"/>
        <w:rPr>
          <w:rFonts w:ascii="Arial" w:hAnsi="Arial" w:cs="Arial"/>
        </w:rPr>
      </w:pPr>
      <w:r w:rsidRPr="00561616">
        <w:rPr>
          <w:rStyle w:val="Refdenotaalpie"/>
          <w:rFonts w:ascii="Arial" w:hAnsi="Arial" w:cs="Arial"/>
        </w:rPr>
        <w:footnoteRef/>
      </w:r>
      <w:r w:rsidRPr="00561616">
        <w:rPr>
          <w:rFonts w:ascii="Arial" w:hAnsi="Arial" w:cs="Arial"/>
        </w:rPr>
        <w:t xml:space="preserve"> </w:t>
      </w:r>
      <w:r>
        <w:rPr>
          <w:rFonts w:ascii="Arial" w:hAnsi="Arial" w:cs="Arial"/>
        </w:rPr>
        <w:t xml:space="preserve">Véase </w:t>
      </w:r>
      <w:r w:rsidRPr="00E870BD">
        <w:rPr>
          <w:rFonts w:ascii="Arial" w:hAnsi="Arial" w:cs="Arial"/>
          <w:i/>
        </w:rPr>
        <w:t>ibíd.</w:t>
      </w:r>
      <w:r>
        <w:rPr>
          <w:rFonts w:ascii="Arial" w:hAnsi="Arial" w:cs="Arial"/>
        </w:rPr>
        <w:t>, párr. 30.</w:t>
      </w:r>
    </w:p>
  </w:footnote>
  <w:footnote w:id="93">
    <w:p w:rsidR="001771F9" w:rsidRPr="00E631B0" w:rsidRDefault="001771F9" w:rsidP="00864C95">
      <w:pPr>
        <w:pStyle w:val="Estilo"/>
        <w:rPr>
          <w:rFonts w:cs="Arial"/>
          <w:sz w:val="20"/>
          <w:szCs w:val="20"/>
        </w:rPr>
      </w:pPr>
      <w:r w:rsidRPr="00E631B0">
        <w:rPr>
          <w:rStyle w:val="Refdenotaalpie"/>
          <w:rFonts w:cs="Arial"/>
          <w:sz w:val="20"/>
          <w:szCs w:val="20"/>
        </w:rPr>
        <w:footnoteRef/>
      </w:r>
      <w:r>
        <w:rPr>
          <w:rFonts w:cs="Arial"/>
          <w:sz w:val="20"/>
          <w:szCs w:val="20"/>
        </w:rPr>
        <w:t xml:space="preserve"> Véase </w:t>
      </w:r>
      <w:r w:rsidRPr="00C81022">
        <w:rPr>
          <w:rFonts w:cs="Arial"/>
          <w:i/>
          <w:sz w:val="20"/>
          <w:szCs w:val="20"/>
        </w:rPr>
        <w:t>supra</w:t>
      </w:r>
      <w:r>
        <w:rPr>
          <w:rFonts w:cs="Arial"/>
          <w:sz w:val="20"/>
          <w:szCs w:val="20"/>
        </w:rPr>
        <w:t xml:space="preserve"> nota 35.</w:t>
      </w:r>
    </w:p>
  </w:footnote>
  <w:footnote w:id="94">
    <w:p w:rsidR="001771F9" w:rsidRPr="00E631B0" w:rsidRDefault="001771F9" w:rsidP="003A4477">
      <w:pPr>
        <w:pStyle w:val="Estilo"/>
        <w:rPr>
          <w:rFonts w:cs="Arial"/>
          <w:sz w:val="20"/>
          <w:szCs w:val="20"/>
        </w:rPr>
      </w:pPr>
      <w:r w:rsidRPr="00E631B0">
        <w:rPr>
          <w:rStyle w:val="Refdenotaalpie"/>
          <w:rFonts w:cs="Arial"/>
          <w:sz w:val="20"/>
          <w:szCs w:val="20"/>
        </w:rPr>
        <w:footnoteRef/>
      </w:r>
      <w:r>
        <w:rPr>
          <w:rFonts w:cs="Arial"/>
          <w:sz w:val="20"/>
          <w:szCs w:val="20"/>
        </w:rPr>
        <w:t xml:space="preserve"> </w:t>
      </w:r>
      <w:r w:rsidRPr="003A4477">
        <w:rPr>
          <w:rFonts w:cs="Arial"/>
          <w:i/>
          <w:sz w:val="20"/>
          <w:szCs w:val="20"/>
        </w:rPr>
        <w:t>Ídem</w:t>
      </w:r>
      <w:r>
        <w:rPr>
          <w:rFonts w:cs="Arial"/>
          <w:sz w:val="20"/>
          <w:szCs w:val="20"/>
        </w:rPr>
        <w:t>.</w:t>
      </w:r>
    </w:p>
  </w:footnote>
  <w:footnote w:id="95">
    <w:p w:rsidR="001771F9" w:rsidRPr="00154C8E" w:rsidRDefault="001771F9" w:rsidP="00EB1856">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Véase</w:t>
      </w:r>
      <w:r>
        <w:rPr>
          <w:rFonts w:ascii="Arial" w:hAnsi="Arial" w:cs="Arial"/>
        </w:rPr>
        <w:t xml:space="preserve"> el expediente de la acción de inconstitucionalidad 201/2020</w:t>
      </w:r>
      <w:r w:rsidRPr="00154C8E">
        <w:rPr>
          <w:rFonts w:ascii="Arial" w:hAnsi="Arial" w:cs="Arial"/>
        </w:rPr>
        <w:t>, fojas</w:t>
      </w:r>
      <w:r>
        <w:rPr>
          <w:rFonts w:ascii="Arial" w:hAnsi="Arial" w:cs="Arial"/>
        </w:rPr>
        <w:t xml:space="preserve"> 103</w:t>
      </w:r>
      <w:r w:rsidRPr="00154C8E">
        <w:rPr>
          <w:rFonts w:ascii="Arial" w:hAnsi="Arial" w:cs="Arial"/>
        </w:rPr>
        <w:t xml:space="preserve"> a</w:t>
      </w:r>
      <w:r>
        <w:rPr>
          <w:rFonts w:ascii="Arial" w:hAnsi="Arial" w:cs="Arial"/>
        </w:rPr>
        <w:t xml:space="preserve"> 106</w:t>
      </w:r>
      <w:r w:rsidRPr="00154C8E">
        <w:rPr>
          <w:rFonts w:ascii="Arial" w:hAnsi="Arial" w:cs="Arial"/>
        </w:rPr>
        <w:t>.</w:t>
      </w:r>
    </w:p>
  </w:footnote>
  <w:footnote w:id="96">
    <w:p w:rsidR="001771F9" w:rsidRPr="0070770D" w:rsidRDefault="001771F9" w:rsidP="006717C7">
      <w:pPr>
        <w:pStyle w:val="Textonotapie"/>
        <w:jc w:val="both"/>
        <w:rPr>
          <w:rFonts w:ascii="Arial" w:hAnsi="Arial" w:cs="Arial"/>
        </w:rPr>
      </w:pPr>
      <w:r w:rsidRPr="00561616">
        <w:rPr>
          <w:rStyle w:val="Refdenotaalpie"/>
          <w:rFonts w:ascii="Arial" w:hAnsi="Arial" w:cs="Arial"/>
        </w:rPr>
        <w:footnoteRef/>
      </w:r>
      <w:r w:rsidRPr="00561616">
        <w:rPr>
          <w:rFonts w:ascii="Arial" w:hAnsi="Arial" w:cs="Arial"/>
        </w:rPr>
        <w:t xml:space="preserve"> </w:t>
      </w:r>
      <w:r>
        <w:rPr>
          <w:rFonts w:ascii="Arial" w:hAnsi="Arial" w:cs="Arial"/>
        </w:rPr>
        <w:t>Véase la acción de inconstitucionalidad 1/2017, párrs. 29 a 31.</w:t>
      </w:r>
    </w:p>
  </w:footnote>
  <w:footnote w:id="97">
    <w:p w:rsidR="001771F9" w:rsidRPr="00A974B6" w:rsidRDefault="001771F9" w:rsidP="007B3A78">
      <w:pPr>
        <w:pStyle w:val="Textonotapie"/>
        <w:rPr>
          <w:rFonts w:ascii="Arial" w:hAnsi="Arial" w:cs="Arial"/>
        </w:rPr>
      </w:pPr>
      <w:r w:rsidRPr="00A974B6">
        <w:rPr>
          <w:rStyle w:val="Refdenotaalpie"/>
          <w:rFonts w:ascii="Arial" w:hAnsi="Arial" w:cs="Arial"/>
        </w:rPr>
        <w:footnoteRef/>
      </w:r>
      <w:r w:rsidRPr="00A974B6">
        <w:rPr>
          <w:rFonts w:ascii="Arial" w:hAnsi="Arial" w:cs="Arial"/>
        </w:rPr>
        <w:t xml:space="preserve"> Véase </w:t>
      </w:r>
      <w:r w:rsidRPr="00A974B6">
        <w:rPr>
          <w:rFonts w:ascii="Arial" w:hAnsi="Arial" w:cs="Arial"/>
          <w:i/>
        </w:rPr>
        <w:t>supra</w:t>
      </w:r>
      <w:r w:rsidRPr="00A974B6">
        <w:rPr>
          <w:rFonts w:ascii="Arial" w:hAnsi="Arial" w:cs="Arial"/>
        </w:rPr>
        <w:t xml:space="preserve"> nota 80, pág. </w:t>
      </w:r>
      <w:r>
        <w:rPr>
          <w:rFonts w:ascii="Arial" w:hAnsi="Arial" w:cs="Arial"/>
        </w:rPr>
        <w:t>5</w:t>
      </w:r>
      <w:r w:rsidRPr="00A974B6">
        <w:rPr>
          <w:rFonts w:ascii="Arial" w:hAnsi="Arial" w:cs="Arial"/>
        </w:rPr>
        <w:t>.</w:t>
      </w:r>
    </w:p>
  </w:footnote>
  <w:footnote w:id="98">
    <w:p w:rsidR="001771F9" w:rsidRPr="00A974B6" w:rsidRDefault="001771F9" w:rsidP="007B3A78">
      <w:pPr>
        <w:pStyle w:val="Textonotapie"/>
        <w:rPr>
          <w:rFonts w:ascii="Arial" w:hAnsi="Arial" w:cs="Arial"/>
        </w:rPr>
      </w:pPr>
      <w:r w:rsidRPr="00A974B6">
        <w:rPr>
          <w:rStyle w:val="Refdenotaalpie"/>
          <w:rFonts w:ascii="Arial" w:hAnsi="Arial" w:cs="Arial"/>
        </w:rPr>
        <w:footnoteRef/>
      </w:r>
      <w:r w:rsidRPr="00A974B6">
        <w:rPr>
          <w:rFonts w:ascii="Arial" w:hAnsi="Arial" w:cs="Arial"/>
        </w:rPr>
        <w:t xml:space="preserve"> Véase </w:t>
      </w:r>
      <w:r>
        <w:rPr>
          <w:rFonts w:ascii="Arial" w:hAnsi="Arial" w:cs="Arial"/>
          <w:i/>
        </w:rPr>
        <w:t>ídem</w:t>
      </w:r>
      <w:r w:rsidRPr="00A974B6">
        <w:rPr>
          <w:rFonts w:ascii="Arial" w:hAnsi="Arial" w:cs="Arial"/>
        </w:rPr>
        <w:t>.</w:t>
      </w:r>
    </w:p>
  </w:footnote>
  <w:footnote w:id="99">
    <w:p w:rsidR="001771F9" w:rsidRPr="00154C8E" w:rsidRDefault="001771F9" w:rsidP="00CB5A8E">
      <w:pPr>
        <w:pStyle w:val="Textonotapie"/>
        <w:jc w:val="both"/>
        <w:rPr>
          <w:rFonts w:ascii="Arial" w:hAnsi="Arial" w:cs="Arial"/>
        </w:rPr>
      </w:pPr>
      <w:r w:rsidRPr="00154C8E">
        <w:rPr>
          <w:rStyle w:val="Refdenotaalpie"/>
          <w:rFonts w:ascii="Arial" w:eastAsia="Calibri" w:hAnsi="Arial" w:cs="Arial"/>
        </w:rPr>
        <w:footnoteRef/>
      </w:r>
      <w:r w:rsidRPr="00154C8E">
        <w:rPr>
          <w:rFonts w:ascii="Arial" w:hAnsi="Arial" w:cs="Arial"/>
        </w:rPr>
        <w:t xml:space="preserve"> </w:t>
      </w:r>
      <w:r w:rsidRPr="00154C8E">
        <w:rPr>
          <w:rFonts w:ascii="Arial" w:hAnsi="Arial" w:cs="Arial"/>
          <w:b/>
        </w:rPr>
        <w:t>Artículo 41.</w:t>
      </w:r>
      <w:r w:rsidRPr="00154C8E">
        <w:rPr>
          <w:rFonts w:ascii="Arial" w:hAnsi="Arial" w:cs="Arial"/>
        </w:rPr>
        <w:t xml:space="preserve"> Las sentencias deberán contener: </w:t>
      </w:r>
    </w:p>
    <w:p w:rsidR="001771F9" w:rsidRPr="00154C8E" w:rsidRDefault="001771F9" w:rsidP="00CB5A8E">
      <w:pPr>
        <w:pStyle w:val="Textonotapie"/>
        <w:jc w:val="both"/>
        <w:rPr>
          <w:rFonts w:ascii="Arial" w:hAnsi="Arial" w:cs="Arial"/>
        </w:rPr>
      </w:pPr>
      <w:r w:rsidRPr="00154C8E">
        <w:rPr>
          <w:rFonts w:ascii="Arial" w:hAnsi="Arial" w:cs="Arial"/>
        </w:rPr>
        <w:t>[…]</w:t>
      </w:r>
    </w:p>
    <w:p w:rsidR="001771F9" w:rsidRPr="00154C8E" w:rsidRDefault="001771F9" w:rsidP="00CB5A8E">
      <w:pPr>
        <w:pStyle w:val="Textonotapie"/>
        <w:jc w:val="both"/>
        <w:rPr>
          <w:rFonts w:ascii="Arial" w:hAnsi="Arial" w:cs="Arial"/>
        </w:rPr>
      </w:pPr>
      <w:r w:rsidRPr="00154C8E">
        <w:rPr>
          <w:rFonts w:ascii="Arial" w:hAnsi="Arial" w:cs="Arial"/>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1771F9" w:rsidRPr="00154C8E" w:rsidRDefault="001771F9" w:rsidP="00CB5A8E">
      <w:pPr>
        <w:pStyle w:val="Textonotapie"/>
        <w:jc w:val="both"/>
        <w:rPr>
          <w:rFonts w:ascii="Arial" w:hAnsi="Arial" w:cs="Arial"/>
        </w:rPr>
      </w:pPr>
      <w:r w:rsidRPr="00154C8E">
        <w:rPr>
          <w:rFonts w:ascii="Arial" w:hAnsi="Arial" w:cs="Arial"/>
        </w:rPr>
        <w:t>[…]</w:t>
      </w:r>
    </w:p>
  </w:footnote>
  <w:footnote w:id="100">
    <w:p w:rsidR="001771F9" w:rsidRPr="00154C8E" w:rsidRDefault="001771F9" w:rsidP="00CB5A8E">
      <w:pPr>
        <w:pStyle w:val="Textonotapie"/>
        <w:jc w:val="both"/>
        <w:rPr>
          <w:rFonts w:ascii="Arial" w:hAnsi="Arial" w:cs="Arial"/>
        </w:rPr>
      </w:pPr>
      <w:r w:rsidRPr="00154C8E">
        <w:rPr>
          <w:rStyle w:val="Refdenotaalpie"/>
          <w:rFonts w:ascii="Arial" w:eastAsia="Calibri" w:hAnsi="Arial" w:cs="Arial"/>
        </w:rPr>
        <w:footnoteRef/>
      </w:r>
      <w:r w:rsidRPr="00154C8E">
        <w:rPr>
          <w:rFonts w:ascii="Arial" w:hAnsi="Arial" w:cs="Arial"/>
        </w:rPr>
        <w:t xml:space="preserve"> </w:t>
      </w:r>
      <w:r w:rsidRPr="00154C8E">
        <w:rPr>
          <w:rFonts w:ascii="Arial" w:hAnsi="Arial" w:cs="Arial"/>
          <w:b/>
        </w:rPr>
        <w:t>Artículo 73.</w:t>
      </w:r>
      <w:r w:rsidRPr="00154C8E">
        <w:rPr>
          <w:rFonts w:ascii="Arial" w:hAnsi="Arial" w:cs="Arial"/>
        </w:rPr>
        <w:t xml:space="preserve"> Las sentencias se regirán por lo dispuesto en los artículos 41, 43, 44 y 45 de esta ley.</w:t>
      </w:r>
    </w:p>
  </w:footnote>
  <w:footnote w:id="101">
    <w:p w:rsidR="001771F9" w:rsidRPr="00154C8E" w:rsidRDefault="001771F9" w:rsidP="003B4D0A">
      <w:pPr>
        <w:pStyle w:val="Textonotapie"/>
        <w:jc w:val="both"/>
        <w:rPr>
          <w:rFonts w:ascii="Arial" w:hAnsi="Arial" w:cs="Arial"/>
        </w:rPr>
      </w:pPr>
      <w:r w:rsidRPr="00154C8E">
        <w:rPr>
          <w:rStyle w:val="Refdenotaalpie"/>
          <w:rFonts w:ascii="Arial" w:hAnsi="Arial" w:cs="Arial"/>
        </w:rPr>
        <w:footnoteRef/>
      </w:r>
      <w:r w:rsidRPr="00154C8E">
        <w:rPr>
          <w:rFonts w:ascii="Arial" w:hAnsi="Arial" w:cs="Arial"/>
        </w:rPr>
        <w:t xml:space="preserve"> Véase el expediente de la acción de inconstitucionalida</w:t>
      </w:r>
      <w:r>
        <w:rPr>
          <w:rFonts w:ascii="Arial" w:hAnsi="Arial" w:cs="Arial"/>
        </w:rPr>
        <w:t>d 201/2020, foja 149</w:t>
      </w:r>
      <w:r w:rsidRPr="00154C8E">
        <w:rPr>
          <w:rFonts w:ascii="Arial" w:hAnsi="Arial" w:cs="Arial"/>
        </w:rPr>
        <w:t>.</w:t>
      </w:r>
    </w:p>
  </w:footnote>
  <w:footnote w:id="102">
    <w:p w:rsidR="001771F9" w:rsidRPr="007D5367" w:rsidRDefault="001771F9" w:rsidP="003B4D0A">
      <w:pPr>
        <w:pStyle w:val="Textonotapie"/>
        <w:jc w:val="both"/>
        <w:rPr>
          <w:rFonts w:ascii="Arial" w:hAnsi="Arial" w:cs="Arial"/>
          <w:sz w:val="22"/>
          <w:szCs w:val="22"/>
        </w:rPr>
      </w:pPr>
      <w:r w:rsidRPr="007D5367">
        <w:rPr>
          <w:rStyle w:val="Refdenotaalpie"/>
          <w:rFonts w:ascii="Arial" w:hAnsi="Arial" w:cs="Arial"/>
        </w:rPr>
        <w:footnoteRef/>
      </w:r>
      <w:r w:rsidRPr="007D5367">
        <w:rPr>
          <w:rFonts w:ascii="Arial" w:hAnsi="Arial" w:cs="Arial"/>
        </w:rPr>
        <w:t xml:space="preserve"> Véase la tesis de jurisprudencia del Tribunal Pleno con clave 32/2006, cuyo rubro es </w:t>
      </w:r>
      <w:r w:rsidRPr="007D5367">
        <w:rPr>
          <w:rFonts w:ascii="Arial" w:eastAsia="Arial" w:hAnsi="Arial" w:cs="Arial"/>
          <w:b/>
        </w:rPr>
        <w:t>“ACCIÓN DE INCONSTITUCIONALIDAD. EXTENSIÓN DE LOS EFECTOS DE LA DECLARACIÓN DE INVALIDEZ DE UNA NORMA GENERAL A OTRAS QUE, AUNQUE NO HAYAN SIDO IMPUGNADAS, SEAN DEPENDIENTES DE AQUÉLLA.”</w:t>
      </w:r>
      <w:r w:rsidRPr="007D5367">
        <w:rPr>
          <w:rFonts w:ascii="Arial" w:hAnsi="Arial" w:cs="Arial"/>
        </w:rPr>
        <w:t>,</w:t>
      </w:r>
      <w:r w:rsidRPr="007D5367">
        <w:rPr>
          <w:rFonts w:ascii="Arial" w:hAnsi="Arial" w:cs="Arial"/>
          <w:i/>
        </w:rPr>
        <w:t xml:space="preserve"> </w:t>
      </w:r>
      <w:r w:rsidRPr="007D5367">
        <w:rPr>
          <w:rFonts w:ascii="Arial" w:hAnsi="Arial" w:cs="Arial"/>
          <w:i/>
          <w:szCs w:val="22"/>
        </w:rPr>
        <w:t>Semanario Judicial de la Federación y su Gaceta</w:t>
      </w:r>
      <w:r w:rsidRPr="007D5367">
        <w:rPr>
          <w:rFonts w:ascii="Arial" w:hAnsi="Arial" w:cs="Arial"/>
          <w:szCs w:val="22"/>
        </w:rPr>
        <w:t xml:space="preserve">, novena época, </w:t>
      </w:r>
      <w:r w:rsidRPr="007D5367">
        <w:rPr>
          <w:rFonts w:ascii="Arial" w:hAnsi="Arial" w:cs="Arial"/>
          <w:lang w:val="es-ES_tradnl"/>
        </w:rPr>
        <w:t>tomo XXIII, febrero de dos mil seis, pág. 1169</w:t>
      </w:r>
      <w:r w:rsidRPr="007D5367">
        <w:rPr>
          <w:rFonts w:ascii="Arial" w:hAnsi="Arial" w:cs="Arial"/>
          <w:szCs w:val="22"/>
        </w:rPr>
        <w:t xml:space="preserve">, así como la diversa con clave </w:t>
      </w:r>
      <w:r w:rsidRPr="007D5367">
        <w:rPr>
          <w:rStyle w:val="lbl-encabezado-negro"/>
          <w:rFonts w:ascii="Arial" w:eastAsiaTheme="majorEastAsia" w:hAnsi="Arial" w:cs="Arial"/>
        </w:rPr>
        <w:t>P</w:t>
      </w:r>
      <w:r w:rsidRPr="007D5367">
        <w:rPr>
          <w:rStyle w:val="lbl-encabezado-negro"/>
          <w:rFonts w:ascii="Arial" w:eastAsiaTheme="majorEastAsia" w:hAnsi="Arial" w:cs="Arial"/>
        </w:rPr>
        <w:t xml:space="preserve">./J. 53/2010, cuyo rubro es </w:t>
      </w:r>
      <w:r w:rsidRPr="007D5367">
        <w:rPr>
          <w:rStyle w:val="lbl-encabezado-negro"/>
          <w:rFonts w:ascii="Arial" w:eastAsiaTheme="majorEastAsia" w:hAnsi="Arial" w:cs="Arial"/>
          <w:b/>
        </w:rPr>
        <w:t>“</w:t>
      </w:r>
      <w:r w:rsidRPr="007D5367">
        <w:rPr>
          <w:rFonts w:ascii="Arial" w:hAnsi="Arial" w:cs="Arial"/>
          <w:b/>
        </w:rPr>
        <w:t xml:space="preserve">CONTROVERSIAS CONSTITUCIONALES Y ACCIONES DE INCONSTITUCIONALIDAD. CRITERIOS PARA DETERMINAR LA </w:t>
      </w:r>
      <w:r w:rsidRPr="007D5367">
        <w:rPr>
          <w:rStyle w:val="red"/>
          <w:rFonts w:ascii="Arial" w:eastAsiaTheme="majorEastAsia" w:hAnsi="Arial" w:cs="Arial"/>
          <w:b/>
        </w:rPr>
        <w:t>INVALIDEZ</w:t>
      </w:r>
      <w:r w:rsidRPr="007D5367">
        <w:rPr>
          <w:rFonts w:ascii="Arial" w:hAnsi="Arial" w:cs="Arial"/>
          <w:b/>
        </w:rPr>
        <w:t xml:space="preserve"> </w:t>
      </w:r>
      <w:r w:rsidRPr="007D5367">
        <w:rPr>
          <w:rStyle w:val="red"/>
          <w:rFonts w:ascii="Arial" w:eastAsiaTheme="majorEastAsia" w:hAnsi="Arial" w:cs="Arial"/>
          <w:b/>
        </w:rPr>
        <w:t>INDIRECTA</w:t>
      </w:r>
      <w:r w:rsidRPr="007D5367">
        <w:rPr>
          <w:rFonts w:ascii="Arial" w:hAnsi="Arial" w:cs="Arial"/>
          <w:b/>
        </w:rPr>
        <w:t xml:space="preserve"> DE LAS NORMAS.”, </w:t>
      </w:r>
      <w:r w:rsidRPr="007D5367">
        <w:rPr>
          <w:rFonts w:ascii="Arial" w:hAnsi="Arial" w:cs="Arial"/>
          <w:i/>
        </w:rPr>
        <w:t>ibíd.</w:t>
      </w:r>
      <w:r w:rsidRPr="007D5367">
        <w:rPr>
          <w:rFonts w:ascii="Arial" w:hAnsi="Arial" w:cs="Arial"/>
        </w:rPr>
        <w:t>, novena época,</w:t>
      </w:r>
      <w:r w:rsidRPr="007D5367">
        <w:rPr>
          <w:rFonts w:ascii="Arial" w:hAnsi="Arial" w:cs="Arial"/>
          <w:i/>
        </w:rPr>
        <w:t xml:space="preserve"> </w:t>
      </w:r>
      <w:r w:rsidRPr="007D5367">
        <w:rPr>
          <w:rFonts w:ascii="Arial" w:hAnsi="Arial" w:cs="Arial"/>
          <w:szCs w:val="22"/>
        </w:rPr>
        <w:t>tomo XXXI, abril de dos mil diez, pág. 1564.</w:t>
      </w:r>
      <w:r w:rsidRPr="007D5367">
        <w:rPr>
          <w:rFonts w:ascii="Arial" w:hAnsi="Arial" w:cs="Arial"/>
        </w:rPr>
        <w:t xml:space="preserve"> </w:t>
      </w:r>
    </w:p>
  </w:footnote>
  <w:footnote w:id="103">
    <w:p w:rsidR="001771F9" w:rsidRPr="00154C8E" w:rsidRDefault="001771F9" w:rsidP="00CB5A8E">
      <w:pPr>
        <w:pStyle w:val="Textonotapie"/>
        <w:jc w:val="both"/>
        <w:rPr>
          <w:rFonts w:ascii="Arial" w:hAnsi="Arial" w:cs="Arial"/>
        </w:rPr>
      </w:pPr>
      <w:r w:rsidRPr="00154C8E">
        <w:rPr>
          <w:rStyle w:val="Refdenotaalpie"/>
          <w:rFonts w:ascii="Arial" w:eastAsia="Calibri" w:hAnsi="Arial" w:cs="Arial"/>
        </w:rPr>
        <w:footnoteRef/>
      </w:r>
      <w:r w:rsidRPr="00154C8E">
        <w:rPr>
          <w:rFonts w:ascii="Arial" w:hAnsi="Arial" w:cs="Arial"/>
        </w:rPr>
        <w:t xml:space="preserve"> </w:t>
      </w:r>
      <w:r w:rsidRPr="00154C8E">
        <w:rPr>
          <w:rFonts w:ascii="Arial" w:hAnsi="Arial" w:cs="Arial"/>
          <w:b/>
          <w:bCs/>
        </w:rPr>
        <w:t xml:space="preserve">Artículo 45. </w:t>
      </w:r>
      <w:r w:rsidRPr="00154C8E">
        <w:rPr>
          <w:rFonts w:ascii="Arial" w:hAnsi="Arial" w:cs="Arial"/>
        </w:rPr>
        <w:t xml:space="preserve">Las sentencias producirán sus efectos a partir de la fecha que determine la Suprema Corte de Justicia de la Nación. </w:t>
      </w:r>
    </w:p>
    <w:p w:rsidR="001771F9" w:rsidRPr="00154C8E" w:rsidRDefault="001771F9" w:rsidP="00CB5A8E">
      <w:pPr>
        <w:pStyle w:val="Textonotapie"/>
        <w:jc w:val="both"/>
        <w:rPr>
          <w:rFonts w:ascii="Arial" w:hAnsi="Arial" w:cs="Arial"/>
        </w:rPr>
      </w:pPr>
      <w:r w:rsidRPr="00154C8E">
        <w:rPr>
          <w:rFonts w:ascii="Arial" w:hAnsi="Arial" w:cs="Arial"/>
        </w:rPr>
        <w:t>La declaración de invalidez de las sentencias no tendrá efectos retroactivos, salvo en materia penal, en la que regirán los principios generales y disposiciones legales aplicables de esta materia.</w:t>
      </w:r>
    </w:p>
  </w:footnote>
  <w:footnote w:id="104">
    <w:p w:rsidR="001771F9" w:rsidRPr="00154C8E" w:rsidRDefault="001771F9" w:rsidP="00CB5A8E">
      <w:pPr>
        <w:pStyle w:val="Textonotapie"/>
        <w:jc w:val="both"/>
        <w:rPr>
          <w:rFonts w:ascii="Arial" w:hAnsi="Arial" w:cs="Arial"/>
        </w:rPr>
      </w:pPr>
      <w:r w:rsidRPr="00154C8E">
        <w:rPr>
          <w:rStyle w:val="Refdenotaalpie"/>
          <w:rFonts w:ascii="Arial" w:eastAsia="Calibri" w:hAnsi="Arial" w:cs="Arial"/>
        </w:rPr>
        <w:footnoteRef/>
      </w:r>
      <w:r w:rsidRPr="00154C8E">
        <w:rPr>
          <w:rFonts w:ascii="Arial" w:hAnsi="Arial" w:cs="Arial"/>
        </w:rPr>
        <w:t xml:space="preserve"> </w:t>
      </w:r>
      <w:r w:rsidRPr="00154C8E">
        <w:rPr>
          <w:rFonts w:ascii="Arial" w:hAnsi="Arial" w:cs="Arial"/>
          <w:i/>
        </w:rPr>
        <w:t>Semanario Judicial de la Federación y su Gaceta</w:t>
      </w:r>
      <w:r w:rsidRPr="00154C8E">
        <w:rPr>
          <w:rFonts w:ascii="Arial" w:hAnsi="Arial" w:cs="Arial"/>
        </w:rPr>
        <w:t>, novena época, tomo XXVI, diciembre de dos mil siete, pág. 777.</w:t>
      </w:r>
    </w:p>
  </w:footnote>
  <w:footnote w:id="105">
    <w:p w:rsidR="001771F9" w:rsidRPr="00390007" w:rsidRDefault="001771F9" w:rsidP="00AD6C8E">
      <w:pPr>
        <w:pStyle w:val="Textonotapie"/>
        <w:jc w:val="both"/>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Resuelta el veintisiete de agosto de dos mil diecinueve, en este punto por mayoría de siete votos.</w:t>
      </w:r>
    </w:p>
  </w:footnote>
  <w:footnote w:id="106">
    <w:p w:rsidR="001771F9" w:rsidRPr="00390007" w:rsidRDefault="001771F9" w:rsidP="00AD6C8E">
      <w:pPr>
        <w:pStyle w:val="Textonotapie"/>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Resuelta el uno de octubre de dos mil diecinueve, en este punto por mayoría de siete votos.</w:t>
      </w:r>
    </w:p>
  </w:footnote>
  <w:footnote w:id="107">
    <w:p w:rsidR="001771F9" w:rsidRPr="00390007" w:rsidRDefault="001771F9" w:rsidP="00594DB4">
      <w:pPr>
        <w:pStyle w:val="Textonotapie"/>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Resuelta el veinte de abril de dos mil veinte, en este punto por mayoría de diez votos.</w:t>
      </w:r>
    </w:p>
  </w:footnote>
  <w:footnote w:id="108">
    <w:p w:rsidR="001771F9" w:rsidRPr="00390007" w:rsidRDefault="001771F9" w:rsidP="0095368E">
      <w:pPr>
        <w:pStyle w:val="Textonotapie"/>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Resuelta el veinte de abril de dos mil veinte, en este punto por mayoría de diez votos.</w:t>
      </w:r>
    </w:p>
  </w:footnote>
  <w:footnote w:id="109">
    <w:p w:rsidR="001771F9" w:rsidRPr="00390007" w:rsidRDefault="001771F9" w:rsidP="00074440">
      <w:pPr>
        <w:pStyle w:val="Textonotapie"/>
        <w:jc w:val="both"/>
        <w:rPr>
          <w:rFonts w:ascii="Arial" w:hAnsi="Arial" w:cs="Arial"/>
        </w:rPr>
      </w:pPr>
      <w:r w:rsidRPr="00390007">
        <w:rPr>
          <w:rStyle w:val="Refdenotaalpie"/>
          <w:rFonts w:ascii="Arial" w:hAnsi="Arial" w:cs="Arial"/>
        </w:rPr>
        <w:footnoteRef/>
      </w:r>
      <w:r w:rsidRPr="00390007">
        <w:rPr>
          <w:rFonts w:ascii="Arial" w:hAnsi="Arial" w:cs="Arial"/>
        </w:rPr>
        <w:t xml:space="preserve">  </w:t>
      </w:r>
      <w:r>
        <w:rPr>
          <w:rFonts w:ascii="Arial" w:hAnsi="Arial" w:cs="Arial"/>
        </w:rPr>
        <w:t>Acción de inconstitucionalidad 81/2018, párr. 158 (“</w:t>
      </w:r>
      <w:r w:rsidRPr="00074440">
        <w:rPr>
          <w:rFonts w:ascii="Arial" w:hAnsi="Arial" w:cs="Arial"/>
        </w:rPr>
        <w:t>Sin perjuicio de que, en un tiempo menor, la legislatura local pueda expedir una nueva ley en la que efectivamente se realice una consulta en términos de la presente sentencia.</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F9" w:rsidRDefault="001771F9" w:rsidP="00BB6850">
    <w:pPr>
      <w:pStyle w:val="corte1datos"/>
      <w:suppressLineNumbers/>
      <w:tabs>
        <w:tab w:val="left" w:pos="567"/>
      </w:tabs>
      <w:ind w:left="2410"/>
      <w:jc w:val="right"/>
      <w:rPr>
        <w:rFonts w:cs="Arial"/>
        <w:sz w:val="26"/>
        <w:szCs w:val="26"/>
      </w:rPr>
    </w:pPr>
    <w:r>
      <w:rPr>
        <w:rFonts w:cs="Arial"/>
        <w:sz w:val="26"/>
        <w:szCs w:val="26"/>
      </w:rPr>
      <w:t xml:space="preserve"> </w:t>
    </w:r>
  </w:p>
  <w:p w:rsidR="001771F9" w:rsidRDefault="001771F9" w:rsidP="00BB6850">
    <w:pPr>
      <w:pStyle w:val="corte1datos"/>
      <w:suppressLineNumbers/>
      <w:tabs>
        <w:tab w:val="left" w:pos="567"/>
      </w:tabs>
      <w:ind w:left="2410"/>
      <w:jc w:val="right"/>
      <w:rPr>
        <w:rFonts w:cs="Arial"/>
        <w:sz w:val="26"/>
        <w:szCs w:val="26"/>
      </w:rPr>
    </w:pPr>
  </w:p>
  <w:p w:rsidR="001771F9" w:rsidRDefault="001771F9" w:rsidP="00BB6850">
    <w:pPr>
      <w:pStyle w:val="corte1datos"/>
      <w:suppressLineNumbers/>
      <w:tabs>
        <w:tab w:val="left" w:pos="567"/>
      </w:tabs>
      <w:ind w:left="2410"/>
      <w:jc w:val="right"/>
      <w:rPr>
        <w:rFonts w:cs="Arial"/>
        <w:sz w:val="26"/>
        <w:szCs w:val="26"/>
      </w:rPr>
    </w:pPr>
    <w:r w:rsidRPr="00A02CAC">
      <w:rPr>
        <w:rFonts w:cs="Arial"/>
        <w:sz w:val="26"/>
        <w:szCs w:val="26"/>
      </w:rPr>
      <w:t xml:space="preserve">ACCIÓN DE INCONSTITUCIONALIDAD </w:t>
    </w:r>
    <w:r>
      <w:rPr>
        <w:rFonts w:cs="Arial"/>
        <w:sz w:val="26"/>
        <w:szCs w:val="26"/>
      </w:rPr>
      <w:t>201/2020</w:t>
    </w:r>
  </w:p>
  <w:p w:rsidR="001771F9" w:rsidRDefault="001771F9" w:rsidP="00BB6850">
    <w:pPr>
      <w:pStyle w:val="Encabezado"/>
      <w:jc w:val="both"/>
      <w:rPr>
        <w:rFonts w:ascii="Arial" w:hAnsi="Arial" w:cs="Arial"/>
        <w:b/>
        <w:sz w:val="26"/>
        <w:szCs w:val="26"/>
      </w:rPr>
    </w:pPr>
  </w:p>
  <w:p w:rsidR="001771F9" w:rsidRPr="00BB6850" w:rsidRDefault="001771F9" w:rsidP="00BB6850">
    <w:pPr>
      <w:pStyle w:val="Encabezado"/>
      <w:jc w:val="both"/>
      <w:rPr>
        <w:rFonts w:ascii="Arial" w:hAnsi="Arial" w:cs="Arial"/>
        <w:b/>
        <w:sz w:val="26"/>
        <w:szCs w:val="26"/>
      </w:rPr>
    </w:pPr>
    <w:r>
      <w:rPr>
        <w:rFonts w:ascii="Arial" w:hAnsi="Arial" w:cs="Arial"/>
        <w:b/>
        <w:noProof/>
        <w:sz w:val="26"/>
        <w:szCs w:val="26"/>
        <w:lang w:eastAsia="es-MX"/>
      </w:rPr>
      <mc:AlternateContent>
        <mc:Choice Requires="wps">
          <w:drawing>
            <wp:anchor distT="0" distB="0" distL="114300" distR="114300" simplePos="0" relativeHeight="251657216" behindDoc="1" locked="0" layoutInCell="0" allowOverlap="1" wp14:anchorId="600A7B2C" wp14:editId="0D24338F">
              <wp:simplePos x="0" y="0"/>
              <wp:positionH relativeFrom="margin">
                <wp:align>center</wp:align>
              </wp:positionH>
              <wp:positionV relativeFrom="margin">
                <wp:align>center</wp:align>
              </wp:positionV>
              <wp:extent cx="6593840" cy="1318260"/>
              <wp:effectExtent l="0" t="1885950" r="0" b="188214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771F9" w:rsidRDefault="001771F9" w:rsidP="00176DB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0A7B2C" id="_x0000_t202" coordsize="21600,21600" o:spt="202" path="m,l,21600r21600,l21600,xe">
              <v:stroke joinstyle="miter"/>
              <v:path gradientshapeok="t" o:connecttype="rect"/>
            </v:shapetype>
            <v:shape id="WordArt 3" o:spid="_x0000_s1026" type="#_x0000_t202" style="position:absolute;left:0;text-align:left;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" o:allowincell="f" filled="f" stroked="f">
              <v:stroke joinstyle="round"/>
              <o:lock v:ext="edit" shapetype="t"/>
              <v:textbox style="mso-fit-shape-to-text:t">
                <w:txbxContent>
                  <w:p w:rsidR="001771F9" w:rsidRDefault="001771F9" w:rsidP="00176DB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F9" w:rsidRDefault="001771F9" w:rsidP="00BB6850">
    <w:pPr>
      <w:pStyle w:val="corte1datos"/>
      <w:suppressLineNumbers/>
      <w:tabs>
        <w:tab w:val="left" w:pos="567"/>
      </w:tabs>
      <w:ind w:left="2410"/>
      <w:jc w:val="right"/>
      <w:rPr>
        <w:rFonts w:cs="Arial"/>
        <w:sz w:val="26"/>
        <w:szCs w:val="26"/>
      </w:rPr>
    </w:pPr>
  </w:p>
  <w:p w:rsidR="001771F9" w:rsidRDefault="001771F9" w:rsidP="00BB6850">
    <w:pPr>
      <w:pStyle w:val="corte1datos"/>
      <w:suppressLineNumbers/>
      <w:tabs>
        <w:tab w:val="left" w:pos="567"/>
      </w:tabs>
      <w:ind w:left="2410"/>
      <w:jc w:val="right"/>
      <w:rPr>
        <w:rFonts w:cs="Arial"/>
        <w:sz w:val="26"/>
        <w:szCs w:val="26"/>
      </w:rPr>
    </w:pPr>
  </w:p>
  <w:p w:rsidR="001771F9" w:rsidRDefault="001771F9" w:rsidP="00BB6850">
    <w:pPr>
      <w:pStyle w:val="corte1datos"/>
      <w:suppressLineNumbers/>
      <w:tabs>
        <w:tab w:val="left" w:pos="567"/>
      </w:tabs>
      <w:ind w:left="2410"/>
      <w:jc w:val="right"/>
      <w:rPr>
        <w:rFonts w:cs="Arial"/>
        <w:sz w:val="26"/>
        <w:szCs w:val="26"/>
      </w:rPr>
    </w:pPr>
    <w:r>
      <w:rPr>
        <w:b w:val="0"/>
        <w:noProof/>
        <w:sz w:val="26"/>
        <w:szCs w:val="26"/>
        <w:lang w:val="es-MX" w:eastAsia="es-MX"/>
      </w:rPr>
      <mc:AlternateContent>
        <mc:Choice Requires="wps">
          <w:drawing>
            <wp:anchor distT="0" distB="0" distL="114300" distR="114300" simplePos="0" relativeHeight="251660288" behindDoc="1" locked="0" layoutInCell="1" allowOverlap="1" wp14:anchorId="6E7038E5" wp14:editId="62439430">
              <wp:simplePos x="0" y="0"/>
              <wp:positionH relativeFrom="margin">
                <wp:posOffset>-603885</wp:posOffset>
              </wp:positionH>
              <wp:positionV relativeFrom="paragraph">
                <wp:posOffset>-175094</wp:posOffset>
              </wp:positionV>
              <wp:extent cx="2024380" cy="1879600"/>
              <wp:effectExtent l="0" t="0" r="0" b="6350"/>
              <wp:wrapTight wrapText="bothSides">
                <wp:wrapPolygon edited="0">
                  <wp:start x="0" y="0"/>
                  <wp:lineTo x="0" y="21454"/>
                  <wp:lineTo x="21343" y="21454"/>
                  <wp:lineTo x="21343" y="0"/>
                  <wp:lineTo x="0" y="0"/>
                </wp:wrapPolygon>
              </wp:wrapTight>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B7730" id="Rectángulo 3" o:spid="_x0000_s1026" style="position:absolute;margin-left:-47.55pt;margin-top:-13.8pt;width:159.4pt;height:14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" stroked="f">
              <w10:wrap type="tight" anchorx="margin"/>
            </v:rect>
          </w:pict>
        </mc:Fallback>
      </mc:AlternateContent>
    </w:r>
    <w:r>
      <w:rPr>
        <w:noProof/>
        <w:lang w:val="es-MX" w:eastAsia="es-MX"/>
      </w:rPr>
      <mc:AlternateContent>
        <mc:Choice Requires="wps">
          <w:drawing>
            <wp:anchor distT="0" distB="0" distL="114300" distR="114300" simplePos="0" relativeHeight="251658240" behindDoc="1" locked="0" layoutInCell="0" allowOverlap="1" wp14:anchorId="5598DDF6" wp14:editId="64880F1D">
              <wp:simplePos x="0" y="0"/>
              <wp:positionH relativeFrom="margin">
                <wp:align>center</wp:align>
              </wp:positionH>
              <wp:positionV relativeFrom="margin">
                <wp:align>center</wp:align>
              </wp:positionV>
              <wp:extent cx="6593840" cy="1318260"/>
              <wp:effectExtent l="0" t="1885950" r="0" b="188214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771F9" w:rsidRDefault="001771F9" w:rsidP="00176DB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98DDF6" id="_x0000_t202" coordsize="21600,21600" o:spt="202" path="m,l,21600r21600,l21600,xe">
              <v:stroke joinstyle="miter"/>
              <v:path gradientshapeok="t" o:connecttype="rect"/>
            </v:shapetype>
            <v:shape id="WordArt 8" o:spid="_x0000_s1027" type="#_x0000_t202" style="position:absolute;left:0;text-align:left;margin-left:0;margin-top:0;width:519.2pt;height:103.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" o:allowincell="f" filled="f" stroked="f">
              <v:stroke joinstyle="round"/>
              <o:lock v:ext="edit" shapetype="t"/>
              <v:textbox style="mso-fit-shape-to-text:t">
                <w:txbxContent>
                  <w:p w:rsidR="001771F9" w:rsidRDefault="001771F9" w:rsidP="00176DB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A02CAC">
      <w:rPr>
        <w:rFonts w:cs="Arial"/>
        <w:sz w:val="26"/>
        <w:szCs w:val="26"/>
      </w:rPr>
      <w:t xml:space="preserve">ACCIÓN DE INCONSTITUCIONALIDAD </w:t>
    </w:r>
    <w:r>
      <w:rPr>
        <w:rFonts w:cs="Arial"/>
        <w:sz w:val="26"/>
        <w:szCs w:val="26"/>
      </w:rPr>
      <w:t>201/2020</w:t>
    </w:r>
  </w:p>
  <w:p w:rsidR="001771F9" w:rsidRPr="00BB6850" w:rsidRDefault="001771F9" w:rsidP="00BB6850">
    <w:pPr>
      <w:pStyle w:val="Encabezado"/>
      <w:jc w:val="both"/>
      <w:rPr>
        <w:rFonts w:ascii="Arial" w:hAnsi="Arial" w:cs="Arial"/>
        <w:b/>
        <w:sz w:val="26"/>
        <w:szCs w:val="26"/>
      </w:rPr>
    </w:pPr>
    <w:r>
      <w:rPr>
        <w:rFonts w:ascii="Arial" w:hAnsi="Arial" w:cs="Arial"/>
        <w:b/>
        <w:noProof/>
        <w:sz w:val="26"/>
        <w:szCs w:val="26"/>
        <w:lang w:eastAsia="es-MX"/>
      </w:rPr>
      <mc:AlternateContent>
        <mc:Choice Requires="wps">
          <w:drawing>
            <wp:anchor distT="0" distB="0" distL="114300" distR="114300" simplePos="0" relativeHeight="251655168" behindDoc="1" locked="0" layoutInCell="0" allowOverlap="1" wp14:anchorId="52B8C930" wp14:editId="160B27BB">
              <wp:simplePos x="0" y="0"/>
              <wp:positionH relativeFrom="margin">
                <wp:align>center</wp:align>
              </wp:positionH>
              <wp:positionV relativeFrom="margin">
                <wp:align>center</wp:align>
              </wp:positionV>
              <wp:extent cx="6593840" cy="1318260"/>
              <wp:effectExtent l="0" t="1885950" r="0" b="188214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771F9" w:rsidRDefault="001771F9" w:rsidP="00176DB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B8C930" id="WordArt 7" o:spid="_x0000_s1028" type="#_x0000_t202" style="position:absolute;left:0;text-align:left;margin-left:0;margin-top:0;width:519.2pt;height:103.8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3iw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" o:allowincell="f" filled="f" stroked="f">
              <v:stroke joinstyle="round"/>
              <o:lock v:ext="edit" shapetype="t"/>
              <v:textbox style="mso-fit-shape-to-text:t">
                <w:txbxContent>
                  <w:p w:rsidR="001771F9" w:rsidRDefault="001771F9" w:rsidP="00176DB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p w:rsidR="001771F9" w:rsidRDefault="001771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1F9" w:rsidRDefault="001771F9">
    <w:pPr>
      <w:pStyle w:val="Encabezado"/>
    </w:pPr>
    <w:r>
      <w:rPr>
        <w:b/>
        <w:noProof/>
        <w:sz w:val="26"/>
        <w:szCs w:val="26"/>
        <w:lang w:eastAsia="es-MX"/>
      </w:rPr>
      <mc:AlternateContent>
        <mc:Choice Requires="wps">
          <w:drawing>
            <wp:anchor distT="0" distB="0" distL="114300" distR="114300" simplePos="0" relativeHeight="251659264" behindDoc="1" locked="0" layoutInCell="1" allowOverlap="1" wp14:anchorId="74CA8C59" wp14:editId="19771F0E">
              <wp:simplePos x="0" y="0"/>
              <wp:positionH relativeFrom="margin">
                <wp:posOffset>-867410</wp:posOffset>
              </wp:positionH>
              <wp:positionV relativeFrom="paragraph">
                <wp:posOffset>-372110</wp:posOffset>
              </wp:positionV>
              <wp:extent cx="2024380" cy="1879600"/>
              <wp:effectExtent l="0" t="0" r="0" b="6350"/>
              <wp:wrapTight wrapText="bothSides">
                <wp:wrapPolygon edited="0">
                  <wp:start x="0" y="0"/>
                  <wp:lineTo x="0" y="21454"/>
                  <wp:lineTo x="21343" y="21454"/>
                  <wp:lineTo x="21343" y="0"/>
                  <wp:lineTo x="0" y="0"/>
                </wp:wrapPolygon>
              </wp:wrapTight>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58C11" id="Rectángulo 1" o:spid="_x0000_s1026" style="position:absolute;margin-left:-68.3pt;margin-top:-29.3pt;width:159.4pt;height:1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" stroked="f">
              <w10:wrap type="tight" anchorx="margin"/>
            </v:rect>
          </w:pict>
        </mc:Fallback>
      </mc:AlternateContent>
    </w:r>
    <w:r>
      <w:rPr>
        <w:noProof/>
        <w:lang w:eastAsia="es-MX"/>
      </w:rPr>
      <mc:AlternateContent>
        <mc:Choice Requires="wps">
          <w:drawing>
            <wp:anchor distT="0" distB="0" distL="114300" distR="114300" simplePos="0" relativeHeight="251656192" behindDoc="1" locked="0" layoutInCell="0" allowOverlap="1" wp14:anchorId="09EF2525" wp14:editId="3670B3BD">
              <wp:simplePos x="0" y="0"/>
              <wp:positionH relativeFrom="margin">
                <wp:align>center</wp:align>
              </wp:positionH>
              <wp:positionV relativeFrom="margin">
                <wp:align>center</wp:align>
              </wp:positionV>
              <wp:extent cx="6593840" cy="1318260"/>
              <wp:effectExtent l="0" t="1885950" r="0" b="188214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771F9" w:rsidRDefault="001771F9" w:rsidP="00176DB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EF2525" id="_x0000_t202" coordsize="21600,21600" o:spt="202" path="m,l,21600r21600,l21600,xe">
              <v:stroke joinstyle="miter"/>
              <v:path gradientshapeok="t" o:connecttype="rect"/>
            </v:shapetype>
            <v:shape id="WordArt 2" o:spid="_x0000_s1029" type="#_x0000_t202" style="position:absolute;margin-left:0;margin-top:0;width:519.2pt;height:103.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8U4iwIAAAM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" o:allowincell="f" filled="f" stroked="f">
              <v:stroke joinstyle="round"/>
              <o:lock v:ext="edit" shapetype="t"/>
              <v:textbox style="mso-fit-shape-to-text:t">
                <w:txbxContent>
                  <w:p w:rsidR="001771F9" w:rsidRDefault="001771F9" w:rsidP="00176DB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3DD"/>
    <w:multiLevelType w:val="hybridMultilevel"/>
    <w:tmpl w:val="0936AE1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995C96"/>
    <w:multiLevelType w:val="hybridMultilevel"/>
    <w:tmpl w:val="07F8098A"/>
    <w:lvl w:ilvl="0" w:tplc="34B4395E">
      <w:start w:val="1"/>
      <w:numFmt w:val="decimal"/>
      <w:lvlText w:val="%1."/>
      <w:lvlJc w:val="left"/>
      <w:pPr>
        <w:tabs>
          <w:tab w:val="num" w:pos="-3"/>
        </w:tabs>
        <w:ind w:left="360" w:hanging="360"/>
      </w:pPr>
      <w:rPr>
        <w:rFonts w:ascii="Arial" w:hAnsi="Arial" w:cs="Arial" w:hint="default"/>
        <w:b w:val="0"/>
        <w:i w:val="0"/>
        <w:sz w:val="26"/>
        <w:szCs w:val="26"/>
      </w:rPr>
    </w:lvl>
    <w:lvl w:ilvl="1" w:tplc="080A0015">
      <w:start w:val="1"/>
      <w:numFmt w:val="upperLetter"/>
      <w:lvlText w:val="%2."/>
      <w:lvlJc w:val="left"/>
      <w:pPr>
        <w:ind w:left="1515" w:hanging="435"/>
      </w:pPr>
      <w:rPr>
        <w:rFonts w:hint="default"/>
        <w:b/>
        <w:sz w:val="26"/>
        <w:szCs w:val="26"/>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5E52D7"/>
    <w:multiLevelType w:val="hybridMultilevel"/>
    <w:tmpl w:val="424E286C"/>
    <w:lvl w:ilvl="0" w:tplc="3DFC5BEC">
      <w:start w:val="1"/>
      <w:numFmt w:val="decimal"/>
      <w:lvlText w:val="%1."/>
      <w:lvlJc w:val="left"/>
      <w:pPr>
        <w:ind w:left="360" w:hanging="360"/>
      </w:pPr>
      <w:rPr>
        <w:rFonts w:hint="default"/>
        <w:b w:val="0"/>
        <w:i w:val="0"/>
      </w:rPr>
    </w:lvl>
    <w:lvl w:ilvl="1" w:tplc="32A8C554">
      <w:start w:val="1"/>
      <w:numFmt w:val="upperRoman"/>
      <w:lvlText w:val="%2."/>
      <w:lvlJc w:val="right"/>
      <w:pPr>
        <w:ind w:left="1080" w:hanging="360"/>
      </w:pPr>
      <w:rPr>
        <w:b w:val="0"/>
        <w:i w:val="0"/>
      </w:rPr>
    </w:lvl>
    <w:lvl w:ilvl="2" w:tplc="914CAEC4">
      <w:start w:val="1"/>
      <w:numFmt w:val="lowerRoman"/>
      <w:lvlText w:val="%3."/>
      <w:lvlJc w:val="right"/>
      <w:pPr>
        <w:ind w:left="1800" w:hanging="180"/>
      </w:pPr>
      <w:rPr>
        <w:i w:val="0"/>
      </w:r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F524373"/>
    <w:multiLevelType w:val="hybridMultilevel"/>
    <w:tmpl w:val="07F8098A"/>
    <w:lvl w:ilvl="0" w:tplc="34B4395E">
      <w:start w:val="1"/>
      <w:numFmt w:val="decimal"/>
      <w:lvlText w:val="%1."/>
      <w:lvlJc w:val="left"/>
      <w:pPr>
        <w:tabs>
          <w:tab w:val="num" w:pos="-3"/>
        </w:tabs>
        <w:ind w:left="360" w:hanging="360"/>
      </w:pPr>
      <w:rPr>
        <w:rFonts w:ascii="Arial" w:hAnsi="Arial" w:cs="Arial" w:hint="default"/>
        <w:b w:val="0"/>
        <w:i w:val="0"/>
        <w:sz w:val="26"/>
        <w:szCs w:val="26"/>
      </w:rPr>
    </w:lvl>
    <w:lvl w:ilvl="1" w:tplc="080A0015">
      <w:start w:val="1"/>
      <w:numFmt w:val="upperLetter"/>
      <w:lvlText w:val="%2."/>
      <w:lvlJc w:val="left"/>
      <w:pPr>
        <w:ind w:left="1515" w:hanging="435"/>
      </w:pPr>
      <w:rPr>
        <w:rFonts w:hint="default"/>
        <w:b/>
        <w:sz w:val="26"/>
        <w:szCs w:val="26"/>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2B1F29"/>
    <w:multiLevelType w:val="hybridMultilevel"/>
    <w:tmpl w:val="31A6339E"/>
    <w:lvl w:ilvl="0" w:tplc="080A001B">
      <w:start w:val="1"/>
      <w:numFmt w:val="lowerRoman"/>
      <w:lvlText w:val="%1."/>
      <w:lvlJc w:val="right"/>
      <w:pPr>
        <w:ind w:left="747"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300A22"/>
    <w:multiLevelType w:val="hybridMultilevel"/>
    <w:tmpl w:val="D4F4426C"/>
    <w:lvl w:ilvl="0" w:tplc="7842DABA">
      <w:start w:val="33"/>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4D6431"/>
    <w:multiLevelType w:val="hybridMultilevel"/>
    <w:tmpl w:val="F39E8DCA"/>
    <w:lvl w:ilvl="0" w:tplc="E7DA3858">
      <w:start w:val="1"/>
      <w:numFmt w:val="upperLetter"/>
      <w:lvlText w:val="%1)"/>
      <w:lvlJc w:val="left"/>
      <w:pPr>
        <w:ind w:left="720" w:hanging="360"/>
      </w:pPr>
      <w:rPr>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909725C"/>
    <w:multiLevelType w:val="hybridMultilevel"/>
    <w:tmpl w:val="F2262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B77724"/>
    <w:multiLevelType w:val="hybridMultilevel"/>
    <w:tmpl w:val="E4448590"/>
    <w:lvl w:ilvl="0" w:tplc="A5401F62">
      <w:start w:val="1"/>
      <w:numFmt w:val="decimal"/>
      <w:lvlText w:val="%1."/>
      <w:lvlJc w:val="left"/>
      <w:pPr>
        <w:ind w:left="1496" w:hanging="360"/>
      </w:pPr>
      <w:rPr>
        <w:b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9" w15:restartNumberingAfterBreak="0">
    <w:nsid w:val="534367C2"/>
    <w:multiLevelType w:val="hybridMultilevel"/>
    <w:tmpl w:val="7130A372"/>
    <w:lvl w:ilvl="0" w:tplc="34B4395E">
      <w:start w:val="1"/>
      <w:numFmt w:val="decimal"/>
      <w:lvlText w:val="%1."/>
      <w:lvlJc w:val="left"/>
      <w:pPr>
        <w:tabs>
          <w:tab w:val="num" w:pos="-3"/>
        </w:tabs>
        <w:ind w:left="360" w:hanging="360"/>
      </w:pPr>
      <w:rPr>
        <w:rFonts w:ascii="Arial" w:hAnsi="Arial" w:cs="Arial" w:hint="default"/>
        <w:b w:val="0"/>
        <w:i w:val="0"/>
        <w:sz w:val="26"/>
        <w:szCs w:val="26"/>
      </w:rPr>
    </w:lvl>
    <w:lvl w:ilvl="1" w:tplc="080A0015">
      <w:start w:val="1"/>
      <w:numFmt w:val="upperLetter"/>
      <w:lvlText w:val="%2."/>
      <w:lvlJc w:val="left"/>
      <w:pPr>
        <w:ind w:left="1515" w:hanging="435"/>
      </w:pPr>
      <w:rPr>
        <w:rFonts w:hint="default"/>
        <w:b/>
        <w:sz w:val="26"/>
        <w:szCs w:val="26"/>
      </w:rPr>
    </w:lvl>
    <w:lvl w:ilvl="2" w:tplc="F2C61F64">
      <w:start w:val="1"/>
      <w:numFmt w:val="decimal"/>
      <w:lvlText w:val="%3."/>
      <w:lvlJc w:val="lef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5370A6"/>
    <w:multiLevelType w:val="hybridMultilevel"/>
    <w:tmpl w:val="64BC1C82"/>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65AC3BB5"/>
    <w:multiLevelType w:val="hybridMultilevel"/>
    <w:tmpl w:val="4E322A6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D75344"/>
    <w:multiLevelType w:val="hybridMultilevel"/>
    <w:tmpl w:val="45F4F828"/>
    <w:lvl w:ilvl="0" w:tplc="080A0015">
      <w:start w:val="1"/>
      <w:numFmt w:val="upperLetter"/>
      <w:lvlText w:val="%1."/>
      <w:lvlJc w:val="left"/>
      <w:pPr>
        <w:ind w:left="644" w:hanging="360"/>
      </w:pPr>
      <w:rPr>
        <w:rFonts w:hint="default"/>
      </w:rPr>
    </w:lvl>
    <w:lvl w:ilvl="1" w:tplc="4CACCAC4">
      <w:start w:val="1"/>
      <w:numFmt w:val="decimal"/>
      <w:lvlText w:val="%2."/>
      <w:lvlJc w:val="left"/>
      <w:pPr>
        <w:ind w:left="502" w:hanging="360"/>
      </w:pPr>
      <w:rPr>
        <w:rFonts w:ascii="Arial" w:eastAsiaTheme="minorHAnsi" w:hAnsi="Arial" w:cs="Arial"/>
      </w:rPr>
    </w:lvl>
    <w:lvl w:ilvl="2" w:tplc="080A001B">
      <w:start w:val="1"/>
      <w:numFmt w:val="lowerRoman"/>
      <w:lvlText w:val="%3."/>
      <w:lvlJc w:val="right"/>
      <w:pPr>
        <w:ind w:left="747" w:hanging="180"/>
      </w:pPr>
    </w:lvl>
    <w:lvl w:ilvl="3" w:tplc="080A000F">
      <w:start w:val="1"/>
      <w:numFmt w:val="decimal"/>
      <w:lvlText w:val="%4."/>
      <w:lvlJc w:val="left"/>
      <w:pPr>
        <w:ind w:left="1211" w:hanging="360"/>
      </w:pPr>
    </w:lvl>
    <w:lvl w:ilvl="4" w:tplc="BD202B6E">
      <w:start w:val="1"/>
      <w:numFmt w:val="lowerLetter"/>
      <w:lvlText w:val="%5."/>
      <w:lvlJc w:val="left"/>
      <w:pPr>
        <w:ind w:left="1636" w:hanging="360"/>
      </w:pPr>
      <w:rPr>
        <w:b/>
        <w:bCs/>
      </w:rPr>
    </w:lvl>
    <w:lvl w:ilvl="5" w:tplc="080A001B">
      <w:start w:val="1"/>
      <w:numFmt w:val="lowerRoman"/>
      <w:lvlText w:val="%6."/>
      <w:lvlJc w:val="right"/>
      <w:pPr>
        <w:ind w:left="2023" w:hanging="180"/>
      </w:pPr>
    </w:lvl>
    <w:lvl w:ilvl="6" w:tplc="080A000F">
      <w:start w:val="1"/>
      <w:numFmt w:val="decimal"/>
      <w:lvlText w:val="%7."/>
      <w:lvlJc w:val="left"/>
      <w:pPr>
        <w:ind w:left="234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6E6F782A"/>
    <w:multiLevelType w:val="hybridMultilevel"/>
    <w:tmpl w:val="EA9AD964"/>
    <w:lvl w:ilvl="0" w:tplc="AEA8DB70">
      <w:start w:val="1"/>
      <w:numFmt w:val="lowerLetter"/>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621F8C"/>
    <w:multiLevelType w:val="hybridMultilevel"/>
    <w:tmpl w:val="E0967DF0"/>
    <w:lvl w:ilvl="0" w:tplc="BC9E96BC">
      <w:start w:val="1"/>
      <w:numFmt w:val="lowerLetter"/>
      <w:lvlText w:val="%1)"/>
      <w:lvlJc w:val="left"/>
      <w:pPr>
        <w:ind w:left="720" w:hanging="360"/>
      </w:pPr>
      <w:rPr>
        <w:b w:val="0"/>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9"/>
  </w:num>
  <w:num w:numId="2">
    <w:abstractNumId w:val="2"/>
  </w:num>
  <w:num w:numId="3">
    <w:abstractNumId w:val="5"/>
  </w:num>
  <w:num w:numId="4">
    <w:abstractNumId w:val="10"/>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4"/>
  </w:num>
  <w:num w:numId="11">
    <w:abstractNumId w:val="7"/>
  </w:num>
  <w:num w:numId="12">
    <w:abstractNumId w:val="1"/>
  </w:num>
  <w:num w:numId="13">
    <w:abstractNumId w:val="3"/>
  </w:num>
  <w:num w:numId="14">
    <w:abstractNumId w:val="0"/>
  </w:num>
  <w:num w:numId="15">
    <w:abstractNumId w:val="13"/>
  </w:num>
  <w:num w:numId="16">
    <w:abstractNumId w:val="11"/>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50"/>
    <w:rsid w:val="0000070C"/>
    <w:rsid w:val="00000950"/>
    <w:rsid w:val="00001193"/>
    <w:rsid w:val="000013A1"/>
    <w:rsid w:val="00001483"/>
    <w:rsid w:val="000015BF"/>
    <w:rsid w:val="000015C3"/>
    <w:rsid w:val="00002A99"/>
    <w:rsid w:val="00002BB4"/>
    <w:rsid w:val="0000311A"/>
    <w:rsid w:val="000032A9"/>
    <w:rsid w:val="000033F2"/>
    <w:rsid w:val="000034BF"/>
    <w:rsid w:val="00005C36"/>
    <w:rsid w:val="00006063"/>
    <w:rsid w:val="00006196"/>
    <w:rsid w:val="00006570"/>
    <w:rsid w:val="00007629"/>
    <w:rsid w:val="0000783B"/>
    <w:rsid w:val="00007BD8"/>
    <w:rsid w:val="00010293"/>
    <w:rsid w:val="000104DD"/>
    <w:rsid w:val="00010D77"/>
    <w:rsid w:val="00010DA2"/>
    <w:rsid w:val="00011C82"/>
    <w:rsid w:val="00011D37"/>
    <w:rsid w:val="00012240"/>
    <w:rsid w:val="00012406"/>
    <w:rsid w:val="00012FEE"/>
    <w:rsid w:val="00013859"/>
    <w:rsid w:val="000140E6"/>
    <w:rsid w:val="0001447A"/>
    <w:rsid w:val="000150F6"/>
    <w:rsid w:val="00015B31"/>
    <w:rsid w:val="000167FD"/>
    <w:rsid w:val="00016AF5"/>
    <w:rsid w:val="0001707B"/>
    <w:rsid w:val="000170C6"/>
    <w:rsid w:val="00017FA9"/>
    <w:rsid w:val="000203AC"/>
    <w:rsid w:val="000206A3"/>
    <w:rsid w:val="00020D9A"/>
    <w:rsid w:val="00021FB7"/>
    <w:rsid w:val="00022060"/>
    <w:rsid w:val="0002377A"/>
    <w:rsid w:val="0002415B"/>
    <w:rsid w:val="00024E18"/>
    <w:rsid w:val="00025097"/>
    <w:rsid w:val="000256E6"/>
    <w:rsid w:val="00025E62"/>
    <w:rsid w:val="0002670C"/>
    <w:rsid w:val="00026F3A"/>
    <w:rsid w:val="00027518"/>
    <w:rsid w:val="00027C6C"/>
    <w:rsid w:val="000302DD"/>
    <w:rsid w:val="00030626"/>
    <w:rsid w:val="00030AA2"/>
    <w:rsid w:val="000313F6"/>
    <w:rsid w:val="000320F5"/>
    <w:rsid w:val="00032E0A"/>
    <w:rsid w:val="00032FE3"/>
    <w:rsid w:val="00033894"/>
    <w:rsid w:val="00033D65"/>
    <w:rsid w:val="0003409E"/>
    <w:rsid w:val="0003479B"/>
    <w:rsid w:val="00034F8E"/>
    <w:rsid w:val="00035043"/>
    <w:rsid w:val="00036F4D"/>
    <w:rsid w:val="00037066"/>
    <w:rsid w:val="000400D1"/>
    <w:rsid w:val="000409C4"/>
    <w:rsid w:val="000409D4"/>
    <w:rsid w:val="00042908"/>
    <w:rsid w:val="0004311E"/>
    <w:rsid w:val="000438DF"/>
    <w:rsid w:val="00044355"/>
    <w:rsid w:val="00044412"/>
    <w:rsid w:val="00044B92"/>
    <w:rsid w:val="00044C5F"/>
    <w:rsid w:val="0004511B"/>
    <w:rsid w:val="00045267"/>
    <w:rsid w:val="00045BF7"/>
    <w:rsid w:val="000466E0"/>
    <w:rsid w:val="00046C35"/>
    <w:rsid w:val="00046F95"/>
    <w:rsid w:val="0004713F"/>
    <w:rsid w:val="000472A9"/>
    <w:rsid w:val="000504BA"/>
    <w:rsid w:val="00050F98"/>
    <w:rsid w:val="000519C3"/>
    <w:rsid w:val="00051B75"/>
    <w:rsid w:val="00052724"/>
    <w:rsid w:val="00052E36"/>
    <w:rsid w:val="00052FC4"/>
    <w:rsid w:val="00053CD5"/>
    <w:rsid w:val="000541F2"/>
    <w:rsid w:val="0005536C"/>
    <w:rsid w:val="00055D8F"/>
    <w:rsid w:val="00056A8B"/>
    <w:rsid w:val="00056F2E"/>
    <w:rsid w:val="00057A69"/>
    <w:rsid w:val="00057C52"/>
    <w:rsid w:val="000606EF"/>
    <w:rsid w:val="00061F35"/>
    <w:rsid w:val="00062D68"/>
    <w:rsid w:val="000632CF"/>
    <w:rsid w:val="000634BD"/>
    <w:rsid w:val="00064006"/>
    <w:rsid w:val="00064972"/>
    <w:rsid w:val="00064A0C"/>
    <w:rsid w:val="00064A34"/>
    <w:rsid w:val="00064F0C"/>
    <w:rsid w:val="00065056"/>
    <w:rsid w:val="000653C3"/>
    <w:rsid w:val="00065D30"/>
    <w:rsid w:val="00065E52"/>
    <w:rsid w:val="00066FD2"/>
    <w:rsid w:val="000704E6"/>
    <w:rsid w:val="00071C4F"/>
    <w:rsid w:val="00072AAA"/>
    <w:rsid w:val="000739A2"/>
    <w:rsid w:val="00074268"/>
    <w:rsid w:val="00074440"/>
    <w:rsid w:val="00074F5C"/>
    <w:rsid w:val="00075460"/>
    <w:rsid w:val="00075C84"/>
    <w:rsid w:val="0007682A"/>
    <w:rsid w:val="00076C60"/>
    <w:rsid w:val="00076E2B"/>
    <w:rsid w:val="00080430"/>
    <w:rsid w:val="00080DB1"/>
    <w:rsid w:val="000812E5"/>
    <w:rsid w:val="0008208F"/>
    <w:rsid w:val="000820C5"/>
    <w:rsid w:val="00082801"/>
    <w:rsid w:val="00083486"/>
    <w:rsid w:val="00083B76"/>
    <w:rsid w:val="0008400F"/>
    <w:rsid w:val="00084030"/>
    <w:rsid w:val="0008428D"/>
    <w:rsid w:val="00084423"/>
    <w:rsid w:val="00084E71"/>
    <w:rsid w:val="00085481"/>
    <w:rsid w:val="00085BC1"/>
    <w:rsid w:val="00086BB2"/>
    <w:rsid w:val="00087003"/>
    <w:rsid w:val="000870ED"/>
    <w:rsid w:val="000904D2"/>
    <w:rsid w:val="0009057C"/>
    <w:rsid w:val="00090659"/>
    <w:rsid w:val="0009116F"/>
    <w:rsid w:val="00094095"/>
    <w:rsid w:val="00095116"/>
    <w:rsid w:val="00095B19"/>
    <w:rsid w:val="00095B3D"/>
    <w:rsid w:val="00097996"/>
    <w:rsid w:val="00097B4B"/>
    <w:rsid w:val="00097EF3"/>
    <w:rsid w:val="000A0ADD"/>
    <w:rsid w:val="000A11F7"/>
    <w:rsid w:val="000A29FF"/>
    <w:rsid w:val="000A3706"/>
    <w:rsid w:val="000A3FE4"/>
    <w:rsid w:val="000A4145"/>
    <w:rsid w:val="000A4386"/>
    <w:rsid w:val="000A4393"/>
    <w:rsid w:val="000A4D1C"/>
    <w:rsid w:val="000A52AA"/>
    <w:rsid w:val="000A52BF"/>
    <w:rsid w:val="000A5F5D"/>
    <w:rsid w:val="000A602E"/>
    <w:rsid w:val="000A6030"/>
    <w:rsid w:val="000A663A"/>
    <w:rsid w:val="000A6843"/>
    <w:rsid w:val="000A6C2C"/>
    <w:rsid w:val="000A7578"/>
    <w:rsid w:val="000A7F0D"/>
    <w:rsid w:val="000B0288"/>
    <w:rsid w:val="000B07ED"/>
    <w:rsid w:val="000B09CF"/>
    <w:rsid w:val="000B18E1"/>
    <w:rsid w:val="000B1FA0"/>
    <w:rsid w:val="000B201E"/>
    <w:rsid w:val="000B2780"/>
    <w:rsid w:val="000B3475"/>
    <w:rsid w:val="000B4E1E"/>
    <w:rsid w:val="000B5BAC"/>
    <w:rsid w:val="000B6B45"/>
    <w:rsid w:val="000B71B4"/>
    <w:rsid w:val="000B7507"/>
    <w:rsid w:val="000C1F76"/>
    <w:rsid w:val="000C2479"/>
    <w:rsid w:val="000C3774"/>
    <w:rsid w:val="000C48A2"/>
    <w:rsid w:val="000C5334"/>
    <w:rsid w:val="000C556A"/>
    <w:rsid w:val="000C55C5"/>
    <w:rsid w:val="000C56C2"/>
    <w:rsid w:val="000C6424"/>
    <w:rsid w:val="000C7201"/>
    <w:rsid w:val="000C7A81"/>
    <w:rsid w:val="000D09BD"/>
    <w:rsid w:val="000D1237"/>
    <w:rsid w:val="000D1466"/>
    <w:rsid w:val="000D1596"/>
    <w:rsid w:val="000D1761"/>
    <w:rsid w:val="000D1874"/>
    <w:rsid w:val="000D1C21"/>
    <w:rsid w:val="000D1DBF"/>
    <w:rsid w:val="000D24A6"/>
    <w:rsid w:val="000D24C0"/>
    <w:rsid w:val="000D48C9"/>
    <w:rsid w:val="000D48CB"/>
    <w:rsid w:val="000D6416"/>
    <w:rsid w:val="000D6816"/>
    <w:rsid w:val="000D6DB9"/>
    <w:rsid w:val="000D7F5D"/>
    <w:rsid w:val="000E01AF"/>
    <w:rsid w:val="000E10D9"/>
    <w:rsid w:val="000E123B"/>
    <w:rsid w:val="000E2FB5"/>
    <w:rsid w:val="000E31E6"/>
    <w:rsid w:val="000E34EC"/>
    <w:rsid w:val="000E3CA4"/>
    <w:rsid w:val="000E3D87"/>
    <w:rsid w:val="000E6CC4"/>
    <w:rsid w:val="000F06F3"/>
    <w:rsid w:val="000F27C0"/>
    <w:rsid w:val="000F4256"/>
    <w:rsid w:val="000F4752"/>
    <w:rsid w:val="000F4946"/>
    <w:rsid w:val="000F4994"/>
    <w:rsid w:val="000F4FB3"/>
    <w:rsid w:val="000F5020"/>
    <w:rsid w:val="000F5920"/>
    <w:rsid w:val="000F67C4"/>
    <w:rsid w:val="000F6846"/>
    <w:rsid w:val="000F68DB"/>
    <w:rsid w:val="000F6990"/>
    <w:rsid w:val="000F75B0"/>
    <w:rsid w:val="00100D24"/>
    <w:rsid w:val="00100D5D"/>
    <w:rsid w:val="001016A3"/>
    <w:rsid w:val="00102662"/>
    <w:rsid w:val="00102B82"/>
    <w:rsid w:val="00102C1F"/>
    <w:rsid w:val="00102E9D"/>
    <w:rsid w:val="00104D2D"/>
    <w:rsid w:val="00105A06"/>
    <w:rsid w:val="00106B7C"/>
    <w:rsid w:val="0011005B"/>
    <w:rsid w:val="001109B6"/>
    <w:rsid w:val="0011123D"/>
    <w:rsid w:val="0011393D"/>
    <w:rsid w:val="001144D3"/>
    <w:rsid w:val="001168FC"/>
    <w:rsid w:val="001169C3"/>
    <w:rsid w:val="00116AA8"/>
    <w:rsid w:val="001201DC"/>
    <w:rsid w:val="00120D57"/>
    <w:rsid w:val="001212B5"/>
    <w:rsid w:val="001232CC"/>
    <w:rsid w:val="001251B6"/>
    <w:rsid w:val="00126035"/>
    <w:rsid w:val="001261F2"/>
    <w:rsid w:val="00126642"/>
    <w:rsid w:val="00127469"/>
    <w:rsid w:val="001310C2"/>
    <w:rsid w:val="00132C7C"/>
    <w:rsid w:val="0013484A"/>
    <w:rsid w:val="001349C2"/>
    <w:rsid w:val="00134AAA"/>
    <w:rsid w:val="001355EE"/>
    <w:rsid w:val="00135EC8"/>
    <w:rsid w:val="001360CA"/>
    <w:rsid w:val="00136423"/>
    <w:rsid w:val="001372FF"/>
    <w:rsid w:val="00140287"/>
    <w:rsid w:val="001403B9"/>
    <w:rsid w:val="001407EF"/>
    <w:rsid w:val="00140F76"/>
    <w:rsid w:val="00141321"/>
    <w:rsid w:val="001416F1"/>
    <w:rsid w:val="00141920"/>
    <w:rsid w:val="00142520"/>
    <w:rsid w:val="00142730"/>
    <w:rsid w:val="00144212"/>
    <w:rsid w:val="00144962"/>
    <w:rsid w:val="00144A27"/>
    <w:rsid w:val="00144B10"/>
    <w:rsid w:val="00144D6B"/>
    <w:rsid w:val="00146269"/>
    <w:rsid w:val="001468B2"/>
    <w:rsid w:val="00146CE3"/>
    <w:rsid w:val="001473B5"/>
    <w:rsid w:val="0015166C"/>
    <w:rsid w:val="00152785"/>
    <w:rsid w:val="00152F00"/>
    <w:rsid w:val="00153086"/>
    <w:rsid w:val="0015396C"/>
    <w:rsid w:val="001546F3"/>
    <w:rsid w:val="00154D31"/>
    <w:rsid w:val="00154FE3"/>
    <w:rsid w:val="001564B2"/>
    <w:rsid w:val="001575C3"/>
    <w:rsid w:val="00157CB8"/>
    <w:rsid w:val="00160B54"/>
    <w:rsid w:val="001617B5"/>
    <w:rsid w:val="0016182B"/>
    <w:rsid w:val="00161978"/>
    <w:rsid w:val="00161EDD"/>
    <w:rsid w:val="00162CF0"/>
    <w:rsid w:val="00163975"/>
    <w:rsid w:val="001648E9"/>
    <w:rsid w:val="00165945"/>
    <w:rsid w:val="001668FA"/>
    <w:rsid w:val="00166BD1"/>
    <w:rsid w:val="001672D0"/>
    <w:rsid w:val="0016747B"/>
    <w:rsid w:val="0017029B"/>
    <w:rsid w:val="00170583"/>
    <w:rsid w:val="00170780"/>
    <w:rsid w:val="001727EF"/>
    <w:rsid w:val="0017316E"/>
    <w:rsid w:val="00173239"/>
    <w:rsid w:val="00173844"/>
    <w:rsid w:val="0017386C"/>
    <w:rsid w:val="001742F4"/>
    <w:rsid w:val="001747F2"/>
    <w:rsid w:val="0017490F"/>
    <w:rsid w:val="00174E57"/>
    <w:rsid w:val="00174F79"/>
    <w:rsid w:val="00175098"/>
    <w:rsid w:val="0017574D"/>
    <w:rsid w:val="00175993"/>
    <w:rsid w:val="0017624C"/>
    <w:rsid w:val="001766FC"/>
    <w:rsid w:val="00176DB9"/>
    <w:rsid w:val="001771F9"/>
    <w:rsid w:val="00177D08"/>
    <w:rsid w:val="001804F4"/>
    <w:rsid w:val="00181358"/>
    <w:rsid w:val="001824C0"/>
    <w:rsid w:val="0018256D"/>
    <w:rsid w:val="0018280C"/>
    <w:rsid w:val="001828A5"/>
    <w:rsid w:val="00184112"/>
    <w:rsid w:val="001854AD"/>
    <w:rsid w:val="001856FA"/>
    <w:rsid w:val="00186420"/>
    <w:rsid w:val="00186512"/>
    <w:rsid w:val="00187631"/>
    <w:rsid w:val="00187B11"/>
    <w:rsid w:val="00190EEE"/>
    <w:rsid w:val="00191562"/>
    <w:rsid w:val="00191866"/>
    <w:rsid w:val="00191B28"/>
    <w:rsid w:val="00192A77"/>
    <w:rsid w:val="00193473"/>
    <w:rsid w:val="001938EF"/>
    <w:rsid w:val="00193AC2"/>
    <w:rsid w:val="00194D64"/>
    <w:rsid w:val="00195757"/>
    <w:rsid w:val="00195C15"/>
    <w:rsid w:val="0019658A"/>
    <w:rsid w:val="00197189"/>
    <w:rsid w:val="00197DB8"/>
    <w:rsid w:val="001A0005"/>
    <w:rsid w:val="001A09C4"/>
    <w:rsid w:val="001A0F97"/>
    <w:rsid w:val="001A13F5"/>
    <w:rsid w:val="001A1729"/>
    <w:rsid w:val="001A1B6C"/>
    <w:rsid w:val="001A1FEE"/>
    <w:rsid w:val="001A28C7"/>
    <w:rsid w:val="001A30F7"/>
    <w:rsid w:val="001A44F9"/>
    <w:rsid w:val="001A4AC5"/>
    <w:rsid w:val="001A5413"/>
    <w:rsid w:val="001A5CFA"/>
    <w:rsid w:val="001A635E"/>
    <w:rsid w:val="001A7263"/>
    <w:rsid w:val="001A7D6F"/>
    <w:rsid w:val="001B07B8"/>
    <w:rsid w:val="001B097D"/>
    <w:rsid w:val="001B11E2"/>
    <w:rsid w:val="001B19B3"/>
    <w:rsid w:val="001B1AAC"/>
    <w:rsid w:val="001B259B"/>
    <w:rsid w:val="001B27D4"/>
    <w:rsid w:val="001B2F43"/>
    <w:rsid w:val="001B3532"/>
    <w:rsid w:val="001B42A6"/>
    <w:rsid w:val="001B576E"/>
    <w:rsid w:val="001B6444"/>
    <w:rsid w:val="001B71AD"/>
    <w:rsid w:val="001B74C3"/>
    <w:rsid w:val="001B75A1"/>
    <w:rsid w:val="001B7A72"/>
    <w:rsid w:val="001B7C46"/>
    <w:rsid w:val="001B7D38"/>
    <w:rsid w:val="001B7E1C"/>
    <w:rsid w:val="001B7EEE"/>
    <w:rsid w:val="001C05EB"/>
    <w:rsid w:val="001C08CC"/>
    <w:rsid w:val="001C0B03"/>
    <w:rsid w:val="001C195D"/>
    <w:rsid w:val="001C28D3"/>
    <w:rsid w:val="001C2E5E"/>
    <w:rsid w:val="001C39A8"/>
    <w:rsid w:val="001C4399"/>
    <w:rsid w:val="001C4C9E"/>
    <w:rsid w:val="001C50B5"/>
    <w:rsid w:val="001C5355"/>
    <w:rsid w:val="001C5461"/>
    <w:rsid w:val="001C58C9"/>
    <w:rsid w:val="001C5CD2"/>
    <w:rsid w:val="001C5F70"/>
    <w:rsid w:val="001D02F8"/>
    <w:rsid w:val="001D1557"/>
    <w:rsid w:val="001D1991"/>
    <w:rsid w:val="001D2215"/>
    <w:rsid w:val="001D25E6"/>
    <w:rsid w:val="001D2D7D"/>
    <w:rsid w:val="001D3111"/>
    <w:rsid w:val="001D3548"/>
    <w:rsid w:val="001D3838"/>
    <w:rsid w:val="001D3AA1"/>
    <w:rsid w:val="001D3D46"/>
    <w:rsid w:val="001D402D"/>
    <w:rsid w:val="001D43A3"/>
    <w:rsid w:val="001D46D1"/>
    <w:rsid w:val="001D4908"/>
    <w:rsid w:val="001D4E3A"/>
    <w:rsid w:val="001D5281"/>
    <w:rsid w:val="001D55F1"/>
    <w:rsid w:val="001D58FF"/>
    <w:rsid w:val="001D6E62"/>
    <w:rsid w:val="001D70AB"/>
    <w:rsid w:val="001D7C75"/>
    <w:rsid w:val="001D7F75"/>
    <w:rsid w:val="001E2141"/>
    <w:rsid w:val="001E23AD"/>
    <w:rsid w:val="001E2B37"/>
    <w:rsid w:val="001E2E2A"/>
    <w:rsid w:val="001E4845"/>
    <w:rsid w:val="001E4F8E"/>
    <w:rsid w:val="001E58E7"/>
    <w:rsid w:val="001E6C89"/>
    <w:rsid w:val="001E6DA6"/>
    <w:rsid w:val="001E7BE6"/>
    <w:rsid w:val="001E7FA5"/>
    <w:rsid w:val="001F07D9"/>
    <w:rsid w:val="001F12CA"/>
    <w:rsid w:val="001F1B0B"/>
    <w:rsid w:val="001F1CA9"/>
    <w:rsid w:val="001F1E49"/>
    <w:rsid w:val="001F35D2"/>
    <w:rsid w:val="001F3D6C"/>
    <w:rsid w:val="001F3E55"/>
    <w:rsid w:val="001F4665"/>
    <w:rsid w:val="001F53EB"/>
    <w:rsid w:val="001F6695"/>
    <w:rsid w:val="001F6A5E"/>
    <w:rsid w:val="001F7400"/>
    <w:rsid w:val="001F79DA"/>
    <w:rsid w:val="00200262"/>
    <w:rsid w:val="00200B92"/>
    <w:rsid w:val="002011A8"/>
    <w:rsid w:val="002015A8"/>
    <w:rsid w:val="00201AC0"/>
    <w:rsid w:val="00201E0E"/>
    <w:rsid w:val="00201E3E"/>
    <w:rsid w:val="002025DF"/>
    <w:rsid w:val="0020284D"/>
    <w:rsid w:val="00203392"/>
    <w:rsid w:val="00204DC1"/>
    <w:rsid w:val="00206DE1"/>
    <w:rsid w:val="00207486"/>
    <w:rsid w:val="00210B5D"/>
    <w:rsid w:val="00211C03"/>
    <w:rsid w:val="00212213"/>
    <w:rsid w:val="00212840"/>
    <w:rsid w:val="00213B4C"/>
    <w:rsid w:val="002148C3"/>
    <w:rsid w:val="002175BA"/>
    <w:rsid w:val="00217961"/>
    <w:rsid w:val="00220599"/>
    <w:rsid w:val="002207CF"/>
    <w:rsid w:val="00222BEF"/>
    <w:rsid w:val="002233AA"/>
    <w:rsid w:val="00224082"/>
    <w:rsid w:val="00224F4D"/>
    <w:rsid w:val="002252FC"/>
    <w:rsid w:val="00225714"/>
    <w:rsid w:val="002261F8"/>
    <w:rsid w:val="00226315"/>
    <w:rsid w:val="00226A3B"/>
    <w:rsid w:val="00226ECE"/>
    <w:rsid w:val="00226F75"/>
    <w:rsid w:val="00227A41"/>
    <w:rsid w:val="00230162"/>
    <w:rsid w:val="002301DC"/>
    <w:rsid w:val="00230D25"/>
    <w:rsid w:val="00231251"/>
    <w:rsid w:val="00231376"/>
    <w:rsid w:val="00231957"/>
    <w:rsid w:val="00232156"/>
    <w:rsid w:val="00234009"/>
    <w:rsid w:val="0023479D"/>
    <w:rsid w:val="00234DC6"/>
    <w:rsid w:val="0023552D"/>
    <w:rsid w:val="002375B0"/>
    <w:rsid w:val="00240196"/>
    <w:rsid w:val="00240A48"/>
    <w:rsid w:val="00240C55"/>
    <w:rsid w:val="00240F72"/>
    <w:rsid w:val="00241EE1"/>
    <w:rsid w:val="0024275F"/>
    <w:rsid w:val="00242CF8"/>
    <w:rsid w:val="00244C2D"/>
    <w:rsid w:val="002454DE"/>
    <w:rsid w:val="002455F6"/>
    <w:rsid w:val="0024577A"/>
    <w:rsid w:val="00245E26"/>
    <w:rsid w:val="00245EC9"/>
    <w:rsid w:val="00245EEE"/>
    <w:rsid w:val="00246605"/>
    <w:rsid w:val="002466D0"/>
    <w:rsid w:val="00247544"/>
    <w:rsid w:val="0024766C"/>
    <w:rsid w:val="00250271"/>
    <w:rsid w:val="00252C3B"/>
    <w:rsid w:val="00253B6F"/>
    <w:rsid w:val="00254514"/>
    <w:rsid w:val="002546BF"/>
    <w:rsid w:val="00255576"/>
    <w:rsid w:val="00255A3A"/>
    <w:rsid w:val="00255BA6"/>
    <w:rsid w:val="00256355"/>
    <w:rsid w:val="00256920"/>
    <w:rsid w:val="00261A8F"/>
    <w:rsid w:val="00262160"/>
    <w:rsid w:val="002621EF"/>
    <w:rsid w:val="002636E6"/>
    <w:rsid w:val="002640D3"/>
    <w:rsid w:val="00264E5C"/>
    <w:rsid w:val="00265867"/>
    <w:rsid w:val="00265A6B"/>
    <w:rsid w:val="00267092"/>
    <w:rsid w:val="00267D8A"/>
    <w:rsid w:val="00267E2D"/>
    <w:rsid w:val="00267EF8"/>
    <w:rsid w:val="00270007"/>
    <w:rsid w:val="00270334"/>
    <w:rsid w:val="00270501"/>
    <w:rsid w:val="00270FF1"/>
    <w:rsid w:val="002715E4"/>
    <w:rsid w:val="00271687"/>
    <w:rsid w:val="00271754"/>
    <w:rsid w:val="00272099"/>
    <w:rsid w:val="00272AFE"/>
    <w:rsid w:val="00272B0A"/>
    <w:rsid w:val="00273050"/>
    <w:rsid w:val="002734B9"/>
    <w:rsid w:val="00273E34"/>
    <w:rsid w:val="0027598F"/>
    <w:rsid w:val="00276A4B"/>
    <w:rsid w:val="00277806"/>
    <w:rsid w:val="00277A09"/>
    <w:rsid w:val="002801CB"/>
    <w:rsid w:val="00280C97"/>
    <w:rsid w:val="00280D2B"/>
    <w:rsid w:val="0028215C"/>
    <w:rsid w:val="0028273E"/>
    <w:rsid w:val="002827B2"/>
    <w:rsid w:val="002828E4"/>
    <w:rsid w:val="00282B06"/>
    <w:rsid w:val="00282CCA"/>
    <w:rsid w:val="00282F46"/>
    <w:rsid w:val="0028306A"/>
    <w:rsid w:val="0028358F"/>
    <w:rsid w:val="00283596"/>
    <w:rsid w:val="00283969"/>
    <w:rsid w:val="00286F7A"/>
    <w:rsid w:val="00290458"/>
    <w:rsid w:val="002918F5"/>
    <w:rsid w:val="00291BD5"/>
    <w:rsid w:val="00292D00"/>
    <w:rsid w:val="00292F21"/>
    <w:rsid w:val="00293907"/>
    <w:rsid w:val="00294BEB"/>
    <w:rsid w:val="0029537A"/>
    <w:rsid w:val="002958EC"/>
    <w:rsid w:val="00295F7C"/>
    <w:rsid w:val="0029794B"/>
    <w:rsid w:val="00297FD2"/>
    <w:rsid w:val="002A0A57"/>
    <w:rsid w:val="002A171F"/>
    <w:rsid w:val="002A3122"/>
    <w:rsid w:val="002A40E7"/>
    <w:rsid w:val="002A4769"/>
    <w:rsid w:val="002A4904"/>
    <w:rsid w:val="002A51DE"/>
    <w:rsid w:val="002A64C6"/>
    <w:rsid w:val="002A7225"/>
    <w:rsid w:val="002A7725"/>
    <w:rsid w:val="002B0266"/>
    <w:rsid w:val="002B0587"/>
    <w:rsid w:val="002B0FFC"/>
    <w:rsid w:val="002B1D8D"/>
    <w:rsid w:val="002B29E6"/>
    <w:rsid w:val="002B3290"/>
    <w:rsid w:val="002B3615"/>
    <w:rsid w:val="002B3631"/>
    <w:rsid w:val="002B425B"/>
    <w:rsid w:val="002B44DA"/>
    <w:rsid w:val="002B4E4C"/>
    <w:rsid w:val="002B4F1A"/>
    <w:rsid w:val="002B6012"/>
    <w:rsid w:val="002B6374"/>
    <w:rsid w:val="002B6ECA"/>
    <w:rsid w:val="002B7820"/>
    <w:rsid w:val="002C0070"/>
    <w:rsid w:val="002C05B4"/>
    <w:rsid w:val="002C05EA"/>
    <w:rsid w:val="002C0D04"/>
    <w:rsid w:val="002C14A9"/>
    <w:rsid w:val="002C2662"/>
    <w:rsid w:val="002C2EB2"/>
    <w:rsid w:val="002C368B"/>
    <w:rsid w:val="002C36D2"/>
    <w:rsid w:val="002C4DCE"/>
    <w:rsid w:val="002C5038"/>
    <w:rsid w:val="002C5B26"/>
    <w:rsid w:val="002C5B59"/>
    <w:rsid w:val="002C5E32"/>
    <w:rsid w:val="002C63FC"/>
    <w:rsid w:val="002C6ADE"/>
    <w:rsid w:val="002C6C00"/>
    <w:rsid w:val="002C6C30"/>
    <w:rsid w:val="002C70D7"/>
    <w:rsid w:val="002D26DB"/>
    <w:rsid w:val="002D2E00"/>
    <w:rsid w:val="002D2F2A"/>
    <w:rsid w:val="002D34C2"/>
    <w:rsid w:val="002D4157"/>
    <w:rsid w:val="002D49AD"/>
    <w:rsid w:val="002D5646"/>
    <w:rsid w:val="002D6CFB"/>
    <w:rsid w:val="002D6F6D"/>
    <w:rsid w:val="002D70CF"/>
    <w:rsid w:val="002D71DC"/>
    <w:rsid w:val="002D73AA"/>
    <w:rsid w:val="002E063C"/>
    <w:rsid w:val="002E0CC4"/>
    <w:rsid w:val="002E0E76"/>
    <w:rsid w:val="002E2820"/>
    <w:rsid w:val="002E2E1A"/>
    <w:rsid w:val="002E2FBB"/>
    <w:rsid w:val="002E37CC"/>
    <w:rsid w:val="002E3CBA"/>
    <w:rsid w:val="002E43B1"/>
    <w:rsid w:val="002E43C3"/>
    <w:rsid w:val="002E4C7F"/>
    <w:rsid w:val="002E5E1B"/>
    <w:rsid w:val="002E6CAB"/>
    <w:rsid w:val="002E6D2B"/>
    <w:rsid w:val="002E7B06"/>
    <w:rsid w:val="002F0239"/>
    <w:rsid w:val="002F09C9"/>
    <w:rsid w:val="002F2254"/>
    <w:rsid w:val="002F3C07"/>
    <w:rsid w:val="002F5109"/>
    <w:rsid w:val="002F53CC"/>
    <w:rsid w:val="002F56F4"/>
    <w:rsid w:val="002F57C6"/>
    <w:rsid w:val="002F5C13"/>
    <w:rsid w:val="002F6DE6"/>
    <w:rsid w:val="002F78D5"/>
    <w:rsid w:val="002F7A00"/>
    <w:rsid w:val="003011F0"/>
    <w:rsid w:val="00301A2B"/>
    <w:rsid w:val="00301D4F"/>
    <w:rsid w:val="0030219E"/>
    <w:rsid w:val="003025A4"/>
    <w:rsid w:val="00302CE2"/>
    <w:rsid w:val="003030A4"/>
    <w:rsid w:val="003030B2"/>
    <w:rsid w:val="00303643"/>
    <w:rsid w:val="003039F4"/>
    <w:rsid w:val="00303B1A"/>
    <w:rsid w:val="003041AE"/>
    <w:rsid w:val="0030431D"/>
    <w:rsid w:val="0030517F"/>
    <w:rsid w:val="00305278"/>
    <w:rsid w:val="003056BF"/>
    <w:rsid w:val="00305B11"/>
    <w:rsid w:val="00306BD7"/>
    <w:rsid w:val="0031033D"/>
    <w:rsid w:val="00310D58"/>
    <w:rsid w:val="00311143"/>
    <w:rsid w:val="0031119B"/>
    <w:rsid w:val="0031195E"/>
    <w:rsid w:val="0031379F"/>
    <w:rsid w:val="003137ED"/>
    <w:rsid w:val="003139BA"/>
    <w:rsid w:val="00313C83"/>
    <w:rsid w:val="003146F5"/>
    <w:rsid w:val="00315030"/>
    <w:rsid w:val="003150F0"/>
    <w:rsid w:val="00315455"/>
    <w:rsid w:val="00315960"/>
    <w:rsid w:val="003159D1"/>
    <w:rsid w:val="00315B89"/>
    <w:rsid w:val="003160A4"/>
    <w:rsid w:val="00316939"/>
    <w:rsid w:val="00316971"/>
    <w:rsid w:val="00317AA9"/>
    <w:rsid w:val="003201E3"/>
    <w:rsid w:val="00320526"/>
    <w:rsid w:val="00320EBB"/>
    <w:rsid w:val="00321BE4"/>
    <w:rsid w:val="00322007"/>
    <w:rsid w:val="00322F5F"/>
    <w:rsid w:val="00322FB9"/>
    <w:rsid w:val="003238AD"/>
    <w:rsid w:val="00323934"/>
    <w:rsid w:val="0032464F"/>
    <w:rsid w:val="003253FD"/>
    <w:rsid w:val="00325A36"/>
    <w:rsid w:val="00325D55"/>
    <w:rsid w:val="00326AC2"/>
    <w:rsid w:val="00327C26"/>
    <w:rsid w:val="0033109B"/>
    <w:rsid w:val="003313C5"/>
    <w:rsid w:val="0033176A"/>
    <w:rsid w:val="00331A00"/>
    <w:rsid w:val="00332662"/>
    <w:rsid w:val="00332AD6"/>
    <w:rsid w:val="00333640"/>
    <w:rsid w:val="0033420E"/>
    <w:rsid w:val="00334553"/>
    <w:rsid w:val="00334BBB"/>
    <w:rsid w:val="00334EDC"/>
    <w:rsid w:val="0033544E"/>
    <w:rsid w:val="00335DCB"/>
    <w:rsid w:val="00336560"/>
    <w:rsid w:val="00340A5F"/>
    <w:rsid w:val="00341E93"/>
    <w:rsid w:val="00342365"/>
    <w:rsid w:val="00342428"/>
    <w:rsid w:val="00342486"/>
    <w:rsid w:val="00342B92"/>
    <w:rsid w:val="00343185"/>
    <w:rsid w:val="00343457"/>
    <w:rsid w:val="00344D97"/>
    <w:rsid w:val="003453D8"/>
    <w:rsid w:val="00345DD0"/>
    <w:rsid w:val="0034692C"/>
    <w:rsid w:val="003479D8"/>
    <w:rsid w:val="00350483"/>
    <w:rsid w:val="00350F32"/>
    <w:rsid w:val="00351E69"/>
    <w:rsid w:val="003520C4"/>
    <w:rsid w:val="00352E3F"/>
    <w:rsid w:val="00353746"/>
    <w:rsid w:val="00354013"/>
    <w:rsid w:val="003543D0"/>
    <w:rsid w:val="003559B2"/>
    <w:rsid w:val="00356064"/>
    <w:rsid w:val="00356611"/>
    <w:rsid w:val="0035721B"/>
    <w:rsid w:val="00357612"/>
    <w:rsid w:val="00360112"/>
    <w:rsid w:val="00360629"/>
    <w:rsid w:val="00360718"/>
    <w:rsid w:val="003607A4"/>
    <w:rsid w:val="00361DEB"/>
    <w:rsid w:val="00363BBA"/>
    <w:rsid w:val="003644E3"/>
    <w:rsid w:val="00365097"/>
    <w:rsid w:val="0036650D"/>
    <w:rsid w:val="00366518"/>
    <w:rsid w:val="003667C1"/>
    <w:rsid w:val="00366C1C"/>
    <w:rsid w:val="00366F9B"/>
    <w:rsid w:val="00370059"/>
    <w:rsid w:val="003706C2"/>
    <w:rsid w:val="00370755"/>
    <w:rsid w:val="003708DE"/>
    <w:rsid w:val="003716B9"/>
    <w:rsid w:val="003722C5"/>
    <w:rsid w:val="0037284C"/>
    <w:rsid w:val="00372980"/>
    <w:rsid w:val="00372AA1"/>
    <w:rsid w:val="003730D2"/>
    <w:rsid w:val="003745A5"/>
    <w:rsid w:val="00374E0D"/>
    <w:rsid w:val="00375139"/>
    <w:rsid w:val="00375287"/>
    <w:rsid w:val="003757D3"/>
    <w:rsid w:val="00375D80"/>
    <w:rsid w:val="003768AA"/>
    <w:rsid w:val="00376C21"/>
    <w:rsid w:val="00377307"/>
    <w:rsid w:val="00377608"/>
    <w:rsid w:val="00377B2F"/>
    <w:rsid w:val="00380090"/>
    <w:rsid w:val="00380509"/>
    <w:rsid w:val="00381610"/>
    <w:rsid w:val="00381F8C"/>
    <w:rsid w:val="003823E7"/>
    <w:rsid w:val="003833B0"/>
    <w:rsid w:val="00383EC5"/>
    <w:rsid w:val="00384887"/>
    <w:rsid w:val="0038492B"/>
    <w:rsid w:val="00384941"/>
    <w:rsid w:val="00384F08"/>
    <w:rsid w:val="0038534C"/>
    <w:rsid w:val="00385A31"/>
    <w:rsid w:val="00386360"/>
    <w:rsid w:val="00386577"/>
    <w:rsid w:val="00386947"/>
    <w:rsid w:val="00386957"/>
    <w:rsid w:val="00387C5B"/>
    <w:rsid w:val="00387CE3"/>
    <w:rsid w:val="00387D68"/>
    <w:rsid w:val="00390007"/>
    <w:rsid w:val="0039005F"/>
    <w:rsid w:val="003906C5"/>
    <w:rsid w:val="00390DB5"/>
    <w:rsid w:val="00391C03"/>
    <w:rsid w:val="00391DC3"/>
    <w:rsid w:val="003920BE"/>
    <w:rsid w:val="003920D0"/>
    <w:rsid w:val="00393B21"/>
    <w:rsid w:val="00393F91"/>
    <w:rsid w:val="00394BCA"/>
    <w:rsid w:val="003955F5"/>
    <w:rsid w:val="00395B57"/>
    <w:rsid w:val="00395F49"/>
    <w:rsid w:val="003A0333"/>
    <w:rsid w:val="003A0341"/>
    <w:rsid w:val="003A0619"/>
    <w:rsid w:val="003A06E6"/>
    <w:rsid w:val="003A0922"/>
    <w:rsid w:val="003A1782"/>
    <w:rsid w:val="003A28A9"/>
    <w:rsid w:val="003A2C77"/>
    <w:rsid w:val="003A3919"/>
    <w:rsid w:val="003A4477"/>
    <w:rsid w:val="003A4591"/>
    <w:rsid w:val="003A4C8D"/>
    <w:rsid w:val="003A4D36"/>
    <w:rsid w:val="003A52E0"/>
    <w:rsid w:val="003A59F0"/>
    <w:rsid w:val="003A5D11"/>
    <w:rsid w:val="003A6434"/>
    <w:rsid w:val="003A64D1"/>
    <w:rsid w:val="003A727C"/>
    <w:rsid w:val="003B0669"/>
    <w:rsid w:val="003B0C92"/>
    <w:rsid w:val="003B11D3"/>
    <w:rsid w:val="003B154F"/>
    <w:rsid w:val="003B1B9D"/>
    <w:rsid w:val="003B1BD5"/>
    <w:rsid w:val="003B2141"/>
    <w:rsid w:val="003B283F"/>
    <w:rsid w:val="003B28A4"/>
    <w:rsid w:val="003B4D0A"/>
    <w:rsid w:val="003B5693"/>
    <w:rsid w:val="003B5FBF"/>
    <w:rsid w:val="003B602B"/>
    <w:rsid w:val="003B6BA9"/>
    <w:rsid w:val="003B6CDF"/>
    <w:rsid w:val="003C0D9F"/>
    <w:rsid w:val="003C1DF4"/>
    <w:rsid w:val="003C2320"/>
    <w:rsid w:val="003C2784"/>
    <w:rsid w:val="003C2BB5"/>
    <w:rsid w:val="003C3B81"/>
    <w:rsid w:val="003C3D45"/>
    <w:rsid w:val="003C3F21"/>
    <w:rsid w:val="003C41A6"/>
    <w:rsid w:val="003C41FD"/>
    <w:rsid w:val="003C49B4"/>
    <w:rsid w:val="003C4B96"/>
    <w:rsid w:val="003C5752"/>
    <w:rsid w:val="003C5D89"/>
    <w:rsid w:val="003C6B9E"/>
    <w:rsid w:val="003C6C70"/>
    <w:rsid w:val="003C6D85"/>
    <w:rsid w:val="003D00F1"/>
    <w:rsid w:val="003D1592"/>
    <w:rsid w:val="003D19BD"/>
    <w:rsid w:val="003D2C00"/>
    <w:rsid w:val="003D30AD"/>
    <w:rsid w:val="003D35F5"/>
    <w:rsid w:val="003D3E05"/>
    <w:rsid w:val="003D54D1"/>
    <w:rsid w:val="003D5BD2"/>
    <w:rsid w:val="003D5FB4"/>
    <w:rsid w:val="003D610E"/>
    <w:rsid w:val="003D6EA4"/>
    <w:rsid w:val="003E0EFB"/>
    <w:rsid w:val="003E1308"/>
    <w:rsid w:val="003E14F7"/>
    <w:rsid w:val="003E15E2"/>
    <w:rsid w:val="003E1656"/>
    <w:rsid w:val="003E1BA7"/>
    <w:rsid w:val="003E1C42"/>
    <w:rsid w:val="003E1EE1"/>
    <w:rsid w:val="003E378A"/>
    <w:rsid w:val="003E48FF"/>
    <w:rsid w:val="003E4928"/>
    <w:rsid w:val="003E6056"/>
    <w:rsid w:val="003E6D6D"/>
    <w:rsid w:val="003E6E8D"/>
    <w:rsid w:val="003E7680"/>
    <w:rsid w:val="003E7A8B"/>
    <w:rsid w:val="003F0337"/>
    <w:rsid w:val="003F0B7D"/>
    <w:rsid w:val="003F10A9"/>
    <w:rsid w:val="003F24C8"/>
    <w:rsid w:val="003F2A62"/>
    <w:rsid w:val="003F36BC"/>
    <w:rsid w:val="003F4261"/>
    <w:rsid w:val="003F5289"/>
    <w:rsid w:val="003F53B4"/>
    <w:rsid w:val="003F67F4"/>
    <w:rsid w:val="003F69E5"/>
    <w:rsid w:val="003F6F40"/>
    <w:rsid w:val="003F7501"/>
    <w:rsid w:val="00400264"/>
    <w:rsid w:val="0040037B"/>
    <w:rsid w:val="00400AAB"/>
    <w:rsid w:val="00400E8B"/>
    <w:rsid w:val="00400F4C"/>
    <w:rsid w:val="004015D7"/>
    <w:rsid w:val="00401871"/>
    <w:rsid w:val="0040216C"/>
    <w:rsid w:val="004037C2"/>
    <w:rsid w:val="00404467"/>
    <w:rsid w:val="00404593"/>
    <w:rsid w:val="00405334"/>
    <w:rsid w:val="00405487"/>
    <w:rsid w:val="00405527"/>
    <w:rsid w:val="004059C8"/>
    <w:rsid w:val="00406094"/>
    <w:rsid w:val="0040654A"/>
    <w:rsid w:val="004101FD"/>
    <w:rsid w:val="0041232E"/>
    <w:rsid w:val="00412527"/>
    <w:rsid w:val="00412670"/>
    <w:rsid w:val="00412904"/>
    <w:rsid w:val="00412A08"/>
    <w:rsid w:val="0041349E"/>
    <w:rsid w:val="00413B88"/>
    <w:rsid w:val="00413E9D"/>
    <w:rsid w:val="0041439C"/>
    <w:rsid w:val="00414FD6"/>
    <w:rsid w:val="00415251"/>
    <w:rsid w:val="0041532F"/>
    <w:rsid w:val="00415628"/>
    <w:rsid w:val="0041639E"/>
    <w:rsid w:val="00416DC6"/>
    <w:rsid w:val="004175C2"/>
    <w:rsid w:val="004177E9"/>
    <w:rsid w:val="004209B5"/>
    <w:rsid w:val="00420B86"/>
    <w:rsid w:val="004220DD"/>
    <w:rsid w:val="004229A3"/>
    <w:rsid w:val="004239E6"/>
    <w:rsid w:val="00424F98"/>
    <w:rsid w:val="00425FEE"/>
    <w:rsid w:val="00426FE0"/>
    <w:rsid w:val="0042747B"/>
    <w:rsid w:val="00427619"/>
    <w:rsid w:val="00427923"/>
    <w:rsid w:val="00427E2E"/>
    <w:rsid w:val="00430CE8"/>
    <w:rsid w:val="00430F55"/>
    <w:rsid w:val="00430FD1"/>
    <w:rsid w:val="004310CE"/>
    <w:rsid w:val="00431763"/>
    <w:rsid w:val="00432AF2"/>
    <w:rsid w:val="00432EDB"/>
    <w:rsid w:val="004339EE"/>
    <w:rsid w:val="00433B43"/>
    <w:rsid w:val="00433B4B"/>
    <w:rsid w:val="0043488A"/>
    <w:rsid w:val="00435DF1"/>
    <w:rsid w:val="00436A7E"/>
    <w:rsid w:val="00437A13"/>
    <w:rsid w:val="00437A28"/>
    <w:rsid w:val="00440296"/>
    <w:rsid w:val="00440973"/>
    <w:rsid w:val="00440A6A"/>
    <w:rsid w:val="00441808"/>
    <w:rsid w:val="004419AC"/>
    <w:rsid w:val="00442196"/>
    <w:rsid w:val="0044304C"/>
    <w:rsid w:val="004438C1"/>
    <w:rsid w:val="004438C8"/>
    <w:rsid w:val="00443A50"/>
    <w:rsid w:val="00443ABA"/>
    <w:rsid w:val="00443F70"/>
    <w:rsid w:val="00444FA3"/>
    <w:rsid w:val="00445390"/>
    <w:rsid w:val="004454BE"/>
    <w:rsid w:val="00445B9D"/>
    <w:rsid w:val="00445EFF"/>
    <w:rsid w:val="00446314"/>
    <w:rsid w:val="004500C5"/>
    <w:rsid w:val="00450309"/>
    <w:rsid w:val="0045161B"/>
    <w:rsid w:val="00451F86"/>
    <w:rsid w:val="00452606"/>
    <w:rsid w:val="0045337F"/>
    <w:rsid w:val="0045404C"/>
    <w:rsid w:val="00454264"/>
    <w:rsid w:val="004554A5"/>
    <w:rsid w:val="004559ED"/>
    <w:rsid w:val="00456295"/>
    <w:rsid w:val="00457693"/>
    <w:rsid w:val="00457ADE"/>
    <w:rsid w:val="00457BBA"/>
    <w:rsid w:val="00462759"/>
    <w:rsid w:val="00462DD0"/>
    <w:rsid w:val="00463BBE"/>
    <w:rsid w:val="00464A39"/>
    <w:rsid w:val="00464A90"/>
    <w:rsid w:val="00464F5F"/>
    <w:rsid w:val="004650E9"/>
    <w:rsid w:val="004651C0"/>
    <w:rsid w:val="004654C1"/>
    <w:rsid w:val="0046579D"/>
    <w:rsid w:val="00465909"/>
    <w:rsid w:val="004660A1"/>
    <w:rsid w:val="0046683C"/>
    <w:rsid w:val="00467C22"/>
    <w:rsid w:val="00470C72"/>
    <w:rsid w:val="004710E4"/>
    <w:rsid w:val="00471D5C"/>
    <w:rsid w:val="004730F2"/>
    <w:rsid w:val="00474762"/>
    <w:rsid w:val="00474F52"/>
    <w:rsid w:val="00475D99"/>
    <w:rsid w:val="0047623D"/>
    <w:rsid w:val="0047631B"/>
    <w:rsid w:val="00476F8D"/>
    <w:rsid w:val="004772AF"/>
    <w:rsid w:val="004777C7"/>
    <w:rsid w:val="0047796B"/>
    <w:rsid w:val="00480645"/>
    <w:rsid w:val="00480DE3"/>
    <w:rsid w:val="0048151E"/>
    <w:rsid w:val="0048153B"/>
    <w:rsid w:val="0048166A"/>
    <w:rsid w:val="00481E51"/>
    <w:rsid w:val="00481F43"/>
    <w:rsid w:val="00482949"/>
    <w:rsid w:val="00482AF9"/>
    <w:rsid w:val="00483090"/>
    <w:rsid w:val="00483CF8"/>
    <w:rsid w:val="004849E6"/>
    <w:rsid w:val="00484BFA"/>
    <w:rsid w:val="004854D5"/>
    <w:rsid w:val="00486A4C"/>
    <w:rsid w:val="00487148"/>
    <w:rsid w:val="00487D31"/>
    <w:rsid w:val="00491371"/>
    <w:rsid w:val="004928FE"/>
    <w:rsid w:val="004929A5"/>
    <w:rsid w:val="00492E11"/>
    <w:rsid w:val="00493091"/>
    <w:rsid w:val="00493327"/>
    <w:rsid w:val="00493FD3"/>
    <w:rsid w:val="004940A4"/>
    <w:rsid w:val="004948AA"/>
    <w:rsid w:val="004957A7"/>
    <w:rsid w:val="004957DB"/>
    <w:rsid w:val="00496061"/>
    <w:rsid w:val="0049678F"/>
    <w:rsid w:val="00496E6D"/>
    <w:rsid w:val="004973D2"/>
    <w:rsid w:val="00497704"/>
    <w:rsid w:val="004A15A2"/>
    <w:rsid w:val="004A1AC8"/>
    <w:rsid w:val="004A1C52"/>
    <w:rsid w:val="004A242C"/>
    <w:rsid w:val="004A2FEC"/>
    <w:rsid w:val="004A3A84"/>
    <w:rsid w:val="004A3E7C"/>
    <w:rsid w:val="004A41D4"/>
    <w:rsid w:val="004A441C"/>
    <w:rsid w:val="004A4AF8"/>
    <w:rsid w:val="004A5528"/>
    <w:rsid w:val="004A5DE6"/>
    <w:rsid w:val="004A75DE"/>
    <w:rsid w:val="004A75FC"/>
    <w:rsid w:val="004A76C0"/>
    <w:rsid w:val="004A7847"/>
    <w:rsid w:val="004A7B7B"/>
    <w:rsid w:val="004A7C18"/>
    <w:rsid w:val="004A7CDD"/>
    <w:rsid w:val="004A7DE9"/>
    <w:rsid w:val="004B0C71"/>
    <w:rsid w:val="004B0DDA"/>
    <w:rsid w:val="004B0EA1"/>
    <w:rsid w:val="004B230A"/>
    <w:rsid w:val="004B2708"/>
    <w:rsid w:val="004B3465"/>
    <w:rsid w:val="004B3E02"/>
    <w:rsid w:val="004B3FE5"/>
    <w:rsid w:val="004B4711"/>
    <w:rsid w:val="004B475D"/>
    <w:rsid w:val="004B4807"/>
    <w:rsid w:val="004B5519"/>
    <w:rsid w:val="004B5823"/>
    <w:rsid w:val="004B69F7"/>
    <w:rsid w:val="004B6F9D"/>
    <w:rsid w:val="004C0234"/>
    <w:rsid w:val="004C0E23"/>
    <w:rsid w:val="004C14BA"/>
    <w:rsid w:val="004C1CA5"/>
    <w:rsid w:val="004C22FE"/>
    <w:rsid w:val="004C4044"/>
    <w:rsid w:val="004C41BD"/>
    <w:rsid w:val="004C47EA"/>
    <w:rsid w:val="004C490D"/>
    <w:rsid w:val="004C4A81"/>
    <w:rsid w:val="004C538F"/>
    <w:rsid w:val="004C681A"/>
    <w:rsid w:val="004C6CE5"/>
    <w:rsid w:val="004C7811"/>
    <w:rsid w:val="004D28B6"/>
    <w:rsid w:val="004D303F"/>
    <w:rsid w:val="004D3CCA"/>
    <w:rsid w:val="004D448E"/>
    <w:rsid w:val="004D4557"/>
    <w:rsid w:val="004D4588"/>
    <w:rsid w:val="004D47AA"/>
    <w:rsid w:val="004D5B16"/>
    <w:rsid w:val="004D6191"/>
    <w:rsid w:val="004D7160"/>
    <w:rsid w:val="004E053E"/>
    <w:rsid w:val="004E0F62"/>
    <w:rsid w:val="004E167E"/>
    <w:rsid w:val="004E216E"/>
    <w:rsid w:val="004E36A6"/>
    <w:rsid w:val="004E3E8F"/>
    <w:rsid w:val="004E3FD5"/>
    <w:rsid w:val="004E4969"/>
    <w:rsid w:val="004E5432"/>
    <w:rsid w:val="004E5732"/>
    <w:rsid w:val="004E595D"/>
    <w:rsid w:val="004E6018"/>
    <w:rsid w:val="004E6739"/>
    <w:rsid w:val="004E6866"/>
    <w:rsid w:val="004E69E7"/>
    <w:rsid w:val="004E6BAD"/>
    <w:rsid w:val="004F0020"/>
    <w:rsid w:val="004F17F6"/>
    <w:rsid w:val="004F18B2"/>
    <w:rsid w:val="004F23B7"/>
    <w:rsid w:val="004F2694"/>
    <w:rsid w:val="004F2969"/>
    <w:rsid w:val="004F4656"/>
    <w:rsid w:val="004F544B"/>
    <w:rsid w:val="004F60ED"/>
    <w:rsid w:val="004F663E"/>
    <w:rsid w:val="004F6A0F"/>
    <w:rsid w:val="004F7BFC"/>
    <w:rsid w:val="0050010C"/>
    <w:rsid w:val="005005EE"/>
    <w:rsid w:val="00500782"/>
    <w:rsid w:val="005009FE"/>
    <w:rsid w:val="00500CA7"/>
    <w:rsid w:val="00500DB4"/>
    <w:rsid w:val="005016DE"/>
    <w:rsid w:val="00501BEC"/>
    <w:rsid w:val="00502038"/>
    <w:rsid w:val="005029F8"/>
    <w:rsid w:val="00502D29"/>
    <w:rsid w:val="005032AD"/>
    <w:rsid w:val="00503EC5"/>
    <w:rsid w:val="00503F59"/>
    <w:rsid w:val="00504BA2"/>
    <w:rsid w:val="005059B9"/>
    <w:rsid w:val="00506738"/>
    <w:rsid w:val="0050717E"/>
    <w:rsid w:val="005074C6"/>
    <w:rsid w:val="005114F6"/>
    <w:rsid w:val="005122AB"/>
    <w:rsid w:val="00512887"/>
    <w:rsid w:val="005147E3"/>
    <w:rsid w:val="00516229"/>
    <w:rsid w:val="005165A2"/>
    <w:rsid w:val="005167B3"/>
    <w:rsid w:val="00517A45"/>
    <w:rsid w:val="00520E4D"/>
    <w:rsid w:val="00520F24"/>
    <w:rsid w:val="00521120"/>
    <w:rsid w:val="005212D4"/>
    <w:rsid w:val="00522D55"/>
    <w:rsid w:val="00523A43"/>
    <w:rsid w:val="005250D7"/>
    <w:rsid w:val="0052616B"/>
    <w:rsid w:val="00526911"/>
    <w:rsid w:val="00527F60"/>
    <w:rsid w:val="005300F8"/>
    <w:rsid w:val="005307E2"/>
    <w:rsid w:val="00531CB0"/>
    <w:rsid w:val="00531D8F"/>
    <w:rsid w:val="0053290B"/>
    <w:rsid w:val="0053317E"/>
    <w:rsid w:val="00533FCA"/>
    <w:rsid w:val="00533FE5"/>
    <w:rsid w:val="00534401"/>
    <w:rsid w:val="00534DFB"/>
    <w:rsid w:val="0053503E"/>
    <w:rsid w:val="005350AB"/>
    <w:rsid w:val="00535AEA"/>
    <w:rsid w:val="005366F1"/>
    <w:rsid w:val="005368CA"/>
    <w:rsid w:val="00537840"/>
    <w:rsid w:val="00540295"/>
    <w:rsid w:val="00540F8A"/>
    <w:rsid w:val="00542101"/>
    <w:rsid w:val="00542F23"/>
    <w:rsid w:val="005435F1"/>
    <w:rsid w:val="0054360F"/>
    <w:rsid w:val="005438A1"/>
    <w:rsid w:val="00543CA3"/>
    <w:rsid w:val="005450BA"/>
    <w:rsid w:val="005451AA"/>
    <w:rsid w:val="00545593"/>
    <w:rsid w:val="00545595"/>
    <w:rsid w:val="00545839"/>
    <w:rsid w:val="005465C7"/>
    <w:rsid w:val="005471E9"/>
    <w:rsid w:val="00547403"/>
    <w:rsid w:val="00547EAF"/>
    <w:rsid w:val="00550775"/>
    <w:rsid w:val="00550F6B"/>
    <w:rsid w:val="00551841"/>
    <w:rsid w:val="00551D64"/>
    <w:rsid w:val="00552AF6"/>
    <w:rsid w:val="00553D95"/>
    <w:rsid w:val="005549CF"/>
    <w:rsid w:val="00555A0D"/>
    <w:rsid w:val="00555FAA"/>
    <w:rsid w:val="005573E6"/>
    <w:rsid w:val="00557E31"/>
    <w:rsid w:val="00560184"/>
    <w:rsid w:val="0056151A"/>
    <w:rsid w:val="00561616"/>
    <w:rsid w:val="0056188B"/>
    <w:rsid w:val="00561905"/>
    <w:rsid w:val="00561BD8"/>
    <w:rsid w:val="00562207"/>
    <w:rsid w:val="005622B0"/>
    <w:rsid w:val="00562459"/>
    <w:rsid w:val="0056258E"/>
    <w:rsid w:val="00562F1F"/>
    <w:rsid w:val="0056318B"/>
    <w:rsid w:val="00563338"/>
    <w:rsid w:val="0056361B"/>
    <w:rsid w:val="005638F7"/>
    <w:rsid w:val="005639A6"/>
    <w:rsid w:val="005647A9"/>
    <w:rsid w:val="00564C60"/>
    <w:rsid w:val="00565BE7"/>
    <w:rsid w:val="005662B7"/>
    <w:rsid w:val="005664DB"/>
    <w:rsid w:val="005668AC"/>
    <w:rsid w:val="00566B4F"/>
    <w:rsid w:val="00566D79"/>
    <w:rsid w:val="00567148"/>
    <w:rsid w:val="00567180"/>
    <w:rsid w:val="0056744E"/>
    <w:rsid w:val="00570D0C"/>
    <w:rsid w:val="0057176D"/>
    <w:rsid w:val="005726A6"/>
    <w:rsid w:val="00572DFB"/>
    <w:rsid w:val="0057438A"/>
    <w:rsid w:val="005757F2"/>
    <w:rsid w:val="00575C4C"/>
    <w:rsid w:val="00576536"/>
    <w:rsid w:val="0057692A"/>
    <w:rsid w:val="0057762E"/>
    <w:rsid w:val="00577869"/>
    <w:rsid w:val="005802F0"/>
    <w:rsid w:val="00580340"/>
    <w:rsid w:val="00580C37"/>
    <w:rsid w:val="00581097"/>
    <w:rsid w:val="00581CAF"/>
    <w:rsid w:val="00581CF9"/>
    <w:rsid w:val="00581F59"/>
    <w:rsid w:val="00582767"/>
    <w:rsid w:val="00582785"/>
    <w:rsid w:val="00583AC1"/>
    <w:rsid w:val="00583B5D"/>
    <w:rsid w:val="00583CCE"/>
    <w:rsid w:val="005845AA"/>
    <w:rsid w:val="005846A4"/>
    <w:rsid w:val="00584DC5"/>
    <w:rsid w:val="005850B1"/>
    <w:rsid w:val="0058530F"/>
    <w:rsid w:val="00585962"/>
    <w:rsid w:val="00586E36"/>
    <w:rsid w:val="00586FEF"/>
    <w:rsid w:val="005870F2"/>
    <w:rsid w:val="005871C6"/>
    <w:rsid w:val="0058745C"/>
    <w:rsid w:val="00590742"/>
    <w:rsid w:val="00591001"/>
    <w:rsid w:val="005922FA"/>
    <w:rsid w:val="00592FA0"/>
    <w:rsid w:val="00594946"/>
    <w:rsid w:val="00594DB4"/>
    <w:rsid w:val="00594FA6"/>
    <w:rsid w:val="005959E3"/>
    <w:rsid w:val="005964F5"/>
    <w:rsid w:val="00596AB5"/>
    <w:rsid w:val="00596F9D"/>
    <w:rsid w:val="005971E1"/>
    <w:rsid w:val="005976DE"/>
    <w:rsid w:val="00597A79"/>
    <w:rsid w:val="00597C51"/>
    <w:rsid w:val="005A033F"/>
    <w:rsid w:val="005A1525"/>
    <w:rsid w:val="005A2996"/>
    <w:rsid w:val="005A37B7"/>
    <w:rsid w:val="005A3CF1"/>
    <w:rsid w:val="005A400B"/>
    <w:rsid w:val="005A403B"/>
    <w:rsid w:val="005A4084"/>
    <w:rsid w:val="005A52F6"/>
    <w:rsid w:val="005A54E6"/>
    <w:rsid w:val="005A5D7E"/>
    <w:rsid w:val="005A6111"/>
    <w:rsid w:val="005A6125"/>
    <w:rsid w:val="005A6A55"/>
    <w:rsid w:val="005A6EE8"/>
    <w:rsid w:val="005A7336"/>
    <w:rsid w:val="005B0564"/>
    <w:rsid w:val="005B19C4"/>
    <w:rsid w:val="005B1E6A"/>
    <w:rsid w:val="005B243C"/>
    <w:rsid w:val="005B2BBE"/>
    <w:rsid w:val="005B2D4D"/>
    <w:rsid w:val="005B2EAD"/>
    <w:rsid w:val="005B311B"/>
    <w:rsid w:val="005B336F"/>
    <w:rsid w:val="005B3E3B"/>
    <w:rsid w:val="005B402C"/>
    <w:rsid w:val="005B42BD"/>
    <w:rsid w:val="005B5549"/>
    <w:rsid w:val="005B621F"/>
    <w:rsid w:val="005B649B"/>
    <w:rsid w:val="005B6A85"/>
    <w:rsid w:val="005B6AA3"/>
    <w:rsid w:val="005B6C7E"/>
    <w:rsid w:val="005B7E1B"/>
    <w:rsid w:val="005C00E2"/>
    <w:rsid w:val="005C019D"/>
    <w:rsid w:val="005C05A0"/>
    <w:rsid w:val="005C07A0"/>
    <w:rsid w:val="005C0DB8"/>
    <w:rsid w:val="005C121A"/>
    <w:rsid w:val="005C1532"/>
    <w:rsid w:val="005C157B"/>
    <w:rsid w:val="005C159A"/>
    <w:rsid w:val="005C185F"/>
    <w:rsid w:val="005C1B7D"/>
    <w:rsid w:val="005C1E04"/>
    <w:rsid w:val="005C2326"/>
    <w:rsid w:val="005C2440"/>
    <w:rsid w:val="005C310E"/>
    <w:rsid w:val="005C311B"/>
    <w:rsid w:val="005C340B"/>
    <w:rsid w:val="005C38AA"/>
    <w:rsid w:val="005C4C61"/>
    <w:rsid w:val="005C4F0F"/>
    <w:rsid w:val="005C6E17"/>
    <w:rsid w:val="005C7CE2"/>
    <w:rsid w:val="005D0F7B"/>
    <w:rsid w:val="005D1333"/>
    <w:rsid w:val="005D174E"/>
    <w:rsid w:val="005D184A"/>
    <w:rsid w:val="005D31D0"/>
    <w:rsid w:val="005D33FA"/>
    <w:rsid w:val="005D3645"/>
    <w:rsid w:val="005D3ADE"/>
    <w:rsid w:val="005D3DE5"/>
    <w:rsid w:val="005D4529"/>
    <w:rsid w:val="005D46B8"/>
    <w:rsid w:val="005D4DE1"/>
    <w:rsid w:val="005D5579"/>
    <w:rsid w:val="005D5C66"/>
    <w:rsid w:val="005D5EEC"/>
    <w:rsid w:val="005D6FBE"/>
    <w:rsid w:val="005D716C"/>
    <w:rsid w:val="005D73E8"/>
    <w:rsid w:val="005E01A8"/>
    <w:rsid w:val="005E14CE"/>
    <w:rsid w:val="005E2102"/>
    <w:rsid w:val="005E210F"/>
    <w:rsid w:val="005E259D"/>
    <w:rsid w:val="005E29F9"/>
    <w:rsid w:val="005E3819"/>
    <w:rsid w:val="005E38F7"/>
    <w:rsid w:val="005E437C"/>
    <w:rsid w:val="005E441B"/>
    <w:rsid w:val="005E5099"/>
    <w:rsid w:val="005E609F"/>
    <w:rsid w:val="005E696B"/>
    <w:rsid w:val="005E6E24"/>
    <w:rsid w:val="005E7629"/>
    <w:rsid w:val="005F00D1"/>
    <w:rsid w:val="005F082F"/>
    <w:rsid w:val="005F11F0"/>
    <w:rsid w:val="005F1225"/>
    <w:rsid w:val="005F1B17"/>
    <w:rsid w:val="005F1D0E"/>
    <w:rsid w:val="005F245A"/>
    <w:rsid w:val="005F2B60"/>
    <w:rsid w:val="005F2CCC"/>
    <w:rsid w:val="005F2CD1"/>
    <w:rsid w:val="005F3353"/>
    <w:rsid w:val="005F336A"/>
    <w:rsid w:val="005F34A4"/>
    <w:rsid w:val="005F3C9E"/>
    <w:rsid w:val="005F4221"/>
    <w:rsid w:val="005F47C2"/>
    <w:rsid w:val="005F5481"/>
    <w:rsid w:val="005F5C67"/>
    <w:rsid w:val="005F6335"/>
    <w:rsid w:val="005F6360"/>
    <w:rsid w:val="005F67FC"/>
    <w:rsid w:val="005F70AE"/>
    <w:rsid w:val="005F7588"/>
    <w:rsid w:val="005F7765"/>
    <w:rsid w:val="0060001E"/>
    <w:rsid w:val="006019A6"/>
    <w:rsid w:val="00601F45"/>
    <w:rsid w:val="0060229B"/>
    <w:rsid w:val="00602765"/>
    <w:rsid w:val="006028D8"/>
    <w:rsid w:val="00603A9F"/>
    <w:rsid w:val="00603D21"/>
    <w:rsid w:val="00603E59"/>
    <w:rsid w:val="00604013"/>
    <w:rsid w:val="00604D5E"/>
    <w:rsid w:val="00605AB4"/>
    <w:rsid w:val="00605F82"/>
    <w:rsid w:val="00606EBD"/>
    <w:rsid w:val="00607972"/>
    <w:rsid w:val="00607DE6"/>
    <w:rsid w:val="0061147C"/>
    <w:rsid w:val="006117A4"/>
    <w:rsid w:val="00611D84"/>
    <w:rsid w:val="00612455"/>
    <w:rsid w:val="0061292C"/>
    <w:rsid w:val="00612C59"/>
    <w:rsid w:val="0061306A"/>
    <w:rsid w:val="0061352E"/>
    <w:rsid w:val="00613677"/>
    <w:rsid w:val="00613F05"/>
    <w:rsid w:val="00613F32"/>
    <w:rsid w:val="00614D8C"/>
    <w:rsid w:val="00614E02"/>
    <w:rsid w:val="006163B3"/>
    <w:rsid w:val="00616520"/>
    <w:rsid w:val="00617C5A"/>
    <w:rsid w:val="006218EB"/>
    <w:rsid w:val="00621957"/>
    <w:rsid w:val="006220D2"/>
    <w:rsid w:val="00622239"/>
    <w:rsid w:val="0062406C"/>
    <w:rsid w:val="006254CC"/>
    <w:rsid w:val="00626383"/>
    <w:rsid w:val="006275CE"/>
    <w:rsid w:val="00627A62"/>
    <w:rsid w:val="00627E92"/>
    <w:rsid w:val="00630057"/>
    <w:rsid w:val="0063059F"/>
    <w:rsid w:val="0063174C"/>
    <w:rsid w:val="006325B7"/>
    <w:rsid w:val="00632B37"/>
    <w:rsid w:val="00632F44"/>
    <w:rsid w:val="0063455A"/>
    <w:rsid w:val="006346B1"/>
    <w:rsid w:val="00634B40"/>
    <w:rsid w:val="00634D42"/>
    <w:rsid w:val="00635090"/>
    <w:rsid w:val="00635150"/>
    <w:rsid w:val="0063639B"/>
    <w:rsid w:val="0063672F"/>
    <w:rsid w:val="00636A6F"/>
    <w:rsid w:val="00637E51"/>
    <w:rsid w:val="00641279"/>
    <w:rsid w:val="00641603"/>
    <w:rsid w:val="006426EF"/>
    <w:rsid w:val="00643C13"/>
    <w:rsid w:val="00644F75"/>
    <w:rsid w:val="006453C8"/>
    <w:rsid w:val="0064574C"/>
    <w:rsid w:val="006458BA"/>
    <w:rsid w:val="006461F3"/>
    <w:rsid w:val="0065091C"/>
    <w:rsid w:val="0065141B"/>
    <w:rsid w:val="006515EF"/>
    <w:rsid w:val="00652C8B"/>
    <w:rsid w:val="006532A8"/>
    <w:rsid w:val="0065423C"/>
    <w:rsid w:val="00655BD1"/>
    <w:rsid w:val="00655E51"/>
    <w:rsid w:val="0065721F"/>
    <w:rsid w:val="00657353"/>
    <w:rsid w:val="006613FC"/>
    <w:rsid w:val="00662450"/>
    <w:rsid w:val="00662F0D"/>
    <w:rsid w:val="006647E4"/>
    <w:rsid w:val="0066502E"/>
    <w:rsid w:val="00666478"/>
    <w:rsid w:val="00666F70"/>
    <w:rsid w:val="00670033"/>
    <w:rsid w:val="006717C7"/>
    <w:rsid w:val="00672075"/>
    <w:rsid w:val="00672C64"/>
    <w:rsid w:val="00672C9B"/>
    <w:rsid w:val="00673137"/>
    <w:rsid w:val="00673406"/>
    <w:rsid w:val="00674905"/>
    <w:rsid w:val="00674B6F"/>
    <w:rsid w:val="0067518B"/>
    <w:rsid w:val="0067639A"/>
    <w:rsid w:val="00677DCB"/>
    <w:rsid w:val="00680879"/>
    <w:rsid w:val="00680ADB"/>
    <w:rsid w:val="00681033"/>
    <w:rsid w:val="00681B49"/>
    <w:rsid w:val="00681DE7"/>
    <w:rsid w:val="0068227C"/>
    <w:rsid w:val="00682E67"/>
    <w:rsid w:val="00683654"/>
    <w:rsid w:val="00683C62"/>
    <w:rsid w:val="006848E8"/>
    <w:rsid w:val="0068634A"/>
    <w:rsid w:val="006901B7"/>
    <w:rsid w:val="00690308"/>
    <w:rsid w:val="0069080F"/>
    <w:rsid w:val="006919F3"/>
    <w:rsid w:val="00691FEC"/>
    <w:rsid w:val="00692CAB"/>
    <w:rsid w:val="00693D5D"/>
    <w:rsid w:val="006942FC"/>
    <w:rsid w:val="006944F6"/>
    <w:rsid w:val="006949BC"/>
    <w:rsid w:val="00694B20"/>
    <w:rsid w:val="00695019"/>
    <w:rsid w:val="006957B8"/>
    <w:rsid w:val="00696167"/>
    <w:rsid w:val="006A08DA"/>
    <w:rsid w:val="006A093A"/>
    <w:rsid w:val="006A0D27"/>
    <w:rsid w:val="006A0FF6"/>
    <w:rsid w:val="006A108E"/>
    <w:rsid w:val="006A2E54"/>
    <w:rsid w:val="006A3416"/>
    <w:rsid w:val="006A39F7"/>
    <w:rsid w:val="006A47E2"/>
    <w:rsid w:val="006A4810"/>
    <w:rsid w:val="006A4A99"/>
    <w:rsid w:val="006A5CF7"/>
    <w:rsid w:val="006A5D56"/>
    <w:rsid w:val="006A64A8"/>
    <w:rsid w:val="006A78C5"/>
    <w:rsid w:val="006B1191"/>
    <w:rsid w:val="006B13A8"/>
    <w:rsid w:val="006B1543"/>
    <w:rsid w:val="006B1E1C"/>
    <w:rsid w:val="006B24DE"/>
    <w:rsid w:val="006B3330"/>
    <w:rsid w:val="006B3B30"/>
    <w:rsid w:val="006B44C0"/>
    <w:rsid w:val="006B4536"/>
    <w:rsid w:val="006B48F6"/>
    <w:rsid w:val="006B49A6"/>
    <w:rsid w:val="006B6890"/>
    <w:rsid w:val="006C043E"/>
    <w:rsid w:val="006C06D1"/>
    <w:rsid w:val="006C086B"/>
    <w:rsid w:val="006C118D"/>
    <w:rsid w:val="006C1AC9"/>
    <w:rsid w:val="006C1B45"/>
    <w:rsid w:val="006C1C6A"/>
    <w:rsid w:val="006C282C"/>
    <w:rsid w:val="006C2D3F"/>
    <w:rsid w:val="006C3094"/>
    <w:rsid w:val="006C3441"/>
    <w:rsid w:val="006C35EE"/>
    <w:rsid w:val="006C3BCF"/>
    <w:rsid w:val="006C4726"/>
    <w:rsid w:val="006C4C7F"/>
    <w:rsid w:val="006C5E6F"/>
    <w:rsid w:val="006C6297"/>
    <w:rsid w:val="006C6407"/>
    <w:rsid w:val="006C64CA"/>
    <w:rsid w:val="006C6BF1"/>
    <w:rsid w:val="006C70BE"/>
    <w:rsid w:val="006C7605"/>
    <w:rsid w:val="006C7748"/>
    <w:rsid w:val="006C7FC1"/>
    <w:rsid w:val="006D100B"/>
    <w:rsid w:val="006D1272"/>
    <w:rsid w:val="006D1BAD"/>
    <w:rsid w:val="006D1CB0"/>
    <w:rsid w:val="006D3536"/>
    <w:rsid w:val="006D3844"/>
    <w:rsid w:val="006D402C"/>
    <w:rsid w:val="006D4C61"/>
    <w:rsid w:val="006D4D26"/>
    <w:rsid w:val="006D5613"/>
    <w:rsid w:val="006D57EA"/>
    <w:rsid w:val="006D5980"/>
    <w:rsid w:val="006D6CAE"/>
    <w:rsid w:val="006D78CD"/>
    <w:rsid w:val="006D7ACA"/>
    <w:rsid w:val="006E122A"/>
    <w:rsid w:val="006E17A5"/>
    <w:rsid w:val="006E1F8B"/>
    <w:rsid w:val="006E220E"/>
    <w:rsid w:val="006E23F2"/>
    <w:rsid w:val="006E2F5B"/>
    <w:rsid w:val="006E344B"/>
    <w:rsid w:val="006E3996"/>
    <w:rsid w:val="006E4C78"/>
    <w:rsid w:val="006E5CAA"/>
    <w:rsid w:val="006E7389"/>
    <w:rsid w:val="006F0250"/>
    <w:rsid w:val="006F0D3D"/>
    <w:rsid w:val="006F1020"/>
    <w:rsid w:val="006F14FB"/>
    <w:rsid w:val="006F1727"/>
    <w:rsid w:val="006F2208"/>
    <w:rsid w:val="006F238A"/>
    <w:rsid w:val="006F2D1C"/>
    <w:rsid w:val="006F2F54"/>
    <w:rsid w:val="006F3209"/>
    <w:rsid w:val="006F34E3"/>
    <w:rsid w:val="006F66E8"/>
    <w:rsid w:val="006F6D29"/>
    <w:rsid w:val="006F7457"/>
    <w:rsid w:val="006F77C3"/>
    <w:rsid w:val="006F7970"/>
    <w:rsid w:val="00700E8A"/>
    <w:rsid w:val="007010FE"/>
    <w:rsid w:val="0070137E"/>
    <w:rsid w:val="00701CC9"/>
    <w:rsid w:val="0070226C"/>
    <w:rsid w:val="00703413"/>
    <w:rsid w:val="0070355B"/>
    <w:rsid w:val="007040C1"/>
    <w:rsid w:val="00704409"/>
    <w:rsid w:val="0070579B"/>
    <w:rsid w:val="00705ADA"/>
    <w:rsid w:val="00705ED4"/>
    <w:rsid w:val="007061BE"/>
    <w:rsid w:val="007066A0"/>
    <w:rsid w:val="007077B1"/>
    <w:rsid w:val="007079A9"/>
    <w:rsid w:val="00707B34"/>
    <w:rsid w:val="007100B2"/>
    <w:rsid w:val="007106D6"/>
    <w:rsid w:val="007109B1"/>
    <w:rsid w:val="007109C9"/>
    <w:rsid w:val="00711618"/>
    <w:rsid w:val="00711665"/>
    <w:rsid w:val="007118C6"/>
    <w:rsid w:val="0071207D"/>
    <w:rsid w:val="00712196"/>
    <w:rsid w:val="00712CA7"/>
    <w:rsid w:val="00713173"/>
    <w:rsid w:val="007131C0"/>
    <w:rsid w:val="00713873"/>
    <w:rsid w:val="00713BD8"/>
    <w:rsid w:val="007144F2"/>
    <w:rsid w:val="007145EA"/>
    <w:rsid w:val="00714F69"/>
    <w:rsid w:val="00715379"/>
    <w:rsid w:val="007156AF"/>
    <w:rsid w:val="00715D98"/>
    <w:rsid w:val="0071633B"/>
    <w:rsid w:val="0071652A"/>
    <w:rsid w:val="007167A5"/>
    <w:rsid w:val="00716B6F"/>
    <w:rsid w:val="0071773E"/>
    <w:rsid w:val="00720D99"/>
    <w:rsid w:val="0072187C"/>
    <w:rsid w:val="00721D65"/>
    <w:rsid w:val="00722096"/>
    <w:rsid w:val="00722BEF"/>
    <w:rsid w:val="007230D3"/>
    <w:rsid w:val="007240FA"/>
    <w:rsid w:val="00725DE2"/>
    <w:rsid w:val="00726636"/>
    <w:rsid w:val="00726CD0"/>
    <w:rsid w:val="00730307"/>
    <w:rsid w:val="00730CFE"/>
    <w:rsid w:val="0073221B"/>
    <w:rsid w:val="00732501"/>
    <w:rsid w:val="00732533"/>
    <w:rsid w:val="00732637"/>
    <w:rsid w:val="00732CDB"/>
    <w:rsid w:val="007335F1"/>
    <w:rsid w:val="007346C2"/>
    <w:rsid w:val="00734770"/>
    <w:rsid w:val="00734D27"/>
    <w:rsid w:val="00740389"/>
    <w:rsid w:val="00740889"/>
    <w:rsid w:val="007440B5"/>
    <w:rsid w:val="00744841"/>
    <w:rsid w:val="007451A2"/>
    <w:rsid w:val="0074584F"/>
    <w:rsid w:val="00746D4F"/>
    <w:rsid w:val="0074703B"/>
    <w:rsid w:val="00747365"/>
    <w:rsid w:val="00750B9D"/>
    <w:rsid w:val="00751518"/>
    <w:rsid w:val="00751ADA"/>
    <w:rsid w:val="00751E4B"/>
    <w:rsid w:val="007529E4"/>
    <w:rsid w:val="00754B3F"/>
    <w:rsid w:val="00754E01"/>
    <w:rsid w:val="007550A7"/>
    <w:rsid w:val="00755EC7"/>
    <w:rsid w:val="00755F12"/>
    <w:rsid w:val="007571C8"/>
    <w:rsid w:val="00757EE5"/>
    <w:rsid w:val="00760BF5"/>
    <w:rsid w:val="00761428"/>
    <w:rsid w:val="007616E2"/>
    <w:rsid w:val="00762993"/>
    <w:rsid w:val="00762B90"/>
    <w:rsid w:val="007636D8"/>
    <w:rsid w:val="0076423F"/>
    <w:rsid w:val="00765695"/>
    <w:rsid w:val="00765CD0"/>
    <w:rsid w:val="00766C99"/>
    <w:rsid w:val="007708C5"/>
    <w:rsid w:val="00771A26"/>
    <w:rsid w:val="00771F13"/>
    <w:rsid w:val="00772EB4"/>
    <w:rsid w:val="007750CD"/>
    <w:rsid w:val="00775780"/>
    <w:rsid w:val="00775B59"/>
    <w:rsid w:val="007760D1"/>
    <w:rsid w:val="007766A0"/>
    <w:rsid w:val="00776A15"/>
    <w:rsid w:val="007770C0"/>
    <w:rsid w:val="0078091D"/>
    <w:rsid w:val="00780E7C"/>
    <w:rsid w:val="0078174E"/>
    <w:rsid w:val="00781ECC"/>
    <w:rsid w:val="007825EF"/>
    <w:rsid w:val="007834AE"/>
    <w:rsid w:val="00784609"/>
    <w:rsid w:val="007849F4"/>
    <w:rsid w:val="00785D79"/>
    <w:rsid w:val="00786542"/>
    <w:rsid w:val="007866AA"/>
    <w:rsid w:val="007867D1"/>
    <w:rsid w:val="00786EFC"/>
    <w:rsid w:val="00791C12"/>
    <w:rsid w:val="0079241B"/>
    <w:rsid w:val="00792621"/>
    <w:rsid w:val="007927A6"/>
    <w:rsid w:val="00793BF3"/>
    <w:rsid w:val="00793EB5"/>
    <w:rsid w:val="007948F9"/>
    <w:rsid w:val="007949E6"/>
    <w:rsid w:val="00795887"/>
    <w:rsid w:val="007969F1"/>
    <w:rsid w:val="007977BE"/>
    <w:rsid w:val="00797CB6"/>
    <w:rsid w:val="007A00B6"/>
    <w:rsid w:val="007A0260"/>
    <w:rsid w:val="007A1282"/>
    <w:rsid w:val="007A156B"/>
    <w:rsid w:val="007A19DA"/>
    <w:rsid w:val="007A38B4"/>
    <w:rsid w:val="007A3D92"/>
    <w:rsid w:val="007A461E"/>
    <w:rsid w:val="007A4A76"/>
    <w:rsid w:val="007A528F"/>
    <w:rsid w:val="007A5AAD"/>
    <w:rsid w:val="007A70E0"/>
    <w:rsid w:val="007B0647"/>
    <w:rsid w:val="007B08D5"/>
    <w:rsid w:val="007B0BFA"/>
    <w:rsid w:val="007B0F23"/>
    <w:rsid w:val="007B1566"/>
    <w:rsid w:val="007B1D2D"/>
    <w:rsid w:val="007B2A4D"/>
    <w:rsid w:val="007B2D02"/>
    <w:rsid w:val="007B2EE7"/>
    <w:rsid w:val="007B3889"/>
    <w:rsid w:val="007B3A78"/>
    <w:rsid w:val="007B45D2"/>
    <w:rsid w:val="007B4B63"/>
    <w:rsid w:val="007B5501"/>
    <w:rsid w:val="007B6EEA"/>
    <w:rsid w:val="007B7552"/>
    <w:rsid w:val="007C01F6"/>
    <w:rsid w:val="007C02D8"/>
    <w:rsid w:val="007C060E"/>
    <w:rsid w:val="007C0DB1"/>
    <w:rsid w:val="007C0F25"/>
    <w:rsid w:val="007C1778"/>
    <w:rsid w:val="007C2FED"/>
    <w:rsid w:val="007C431E"/>
    <w:rsid w:val="007C441F"/>
    <w:rsid w:val="007C4F0F"/>
    <w:rsid w:val="007C66A2"/>
    <w:rsid w:val="007C6938"/>
    <w:rsid w:val="007C693D"/>
    <w:rsid w:val="007C74A1"/>
    <w:rsid w:val="007C7A3A"/>
    <w:rsid w:val="007D03D8"/>
    <w:rsid w:val="007D14A6"/>
    <w:rsid w:val="007D1697"/>
    <w:rsid w:val="007D1BCD"/>
    <w:rsid w:val="007D22CD"/>
    <w:rsid w:val="007D4709"/>
    <w:rsid w:val="007D4C52"/>
    <w:rsid w:val="007D5367"/>
    <w:rsid w:val="007D544E"/>
    <w:rsid w:val="007D58B6"/>
    <w:rsid w:val="007D5964"/>
    <w:rsid w:val="007D5B4D"/>
    <w:rsid w:val="007D5D69"/>
    <w:rsid w:val="007D65A8"/>
    <w:rsid w:val="007D6F35"/>
    <w:rsid w:val="007D716B"/>
    <w:rsid w:val="007D720C"/>
    <w:rsid w:val="007E1063"/>
    <w:rsid w:val="007E1255"/>
    <w:rsid w:val="007E1669"/>
    <w:rsid w:val="007E1DD1"/>
    <w:rsid w:val="007E2CDB"/>
    <w:rsid w:val="007E2D9F"/>
    <w:rsid w:val="007E3E94"/>
    <w:rsid w:val="007E4767"/>
    <w:rsid w:val="007E4B83"/>
    <w:rsid w:val="007E6046"/>
    <w:rsid w:val="007E761E"/>
    <w:rsid w:val="007E76A7"/>
    <w:rsid w:val="007E7C29"/>
    <w:rsid w:val="007F00F4"/>
    <w:rsid w:val="007F0B27"/>
    <w:rsid w:val="007F0BB9"/>
    <w:rsid w:val="007F0C3C"/>
    <w:rsid w:val="007F16E2"/>
    <w:rsid w:val="007F1F66"/>
    <w:rsid w:val="007F2851"/>
    <w:rsid w:val="007F3063"/>
    <w:rsid w:val="007F3375"/>
    <w:rsid w:val="007F35BF"/>
    <w:rsid w:val="007F402A"/>
    <w:rsid w:val="007F41B9"/>
    <w:rsid w:val="007F4604"/>
    <w:rsid w:val="007F52B6"/>
    <w:rsid w:val="007F7649"/>
    <w:rsid w:val="007F785E"/>
    <w:rsid w:val="007F7DD0"/>
    <w:rsid w:val="007F7FDA"/>
    <w:rsid w:val="00800108"/>
    <w:rsid w:val="00802067"/>
    <w:rsid w:val="00802416"/>
    <w:rsid w:val="008033F6"/>
    <w:rsid w:val="00803422"/>
    <w:rsid w:val="00803532"/>
    <w:rsid w:val="00803BC4"/>
    <w:rsid w:val="008041A2"/>
    <w:rsid w:val="00804215"/>
    <w:rsid w:val="00804E64"/>
    <w:rsid w:val="00805335"/>
    <w:rsid w:val="00805926"/>
    <w:rsid w:val="00805BA2"/>
    <w:rsid w:val="00805C4B"/>
    <w:rsid w:val="00806771"/>
    <w:rsid w:val="00807286"/>
    <w:rsid w:val="00807D53"/>
    <w:rsid w:val="008104F1"/>
    <w:rsid w:val="00810FC9"/>
    <w:rsid w:val="00811061"/>
    <w:rsid w:val="00811125"/>
    <w:rsid w:val="0081170E"/>
    <w:rsid w:val="00811CB4"/>
    <w:rsid w:val="00811DDC"/>
    <w:rsid w:val="008124CB"/>
    <w:rsid w:val="008137A1"/>
    <w:rsid w:val="008165A8"/>
    <w:rsid w:val="008165B1"/>
    <w:rsid w:val="00816926"/>
    <w:rsid w:val="00816AA6"/>
    <w:rsid w:val="00817280"/>
    <w:rsid w:val="0081767A"/>
    <w:rsid w:val="0081767E"/>
    <w:rsid w:val="00820023"/>
    <w:rsid w:val="00820A5A"/>
    <w:rsid w:val="00822523"/>
    <w:rsid w:val="00822814"/>
    <w:rsid w:val="0082310C"/>
    <w:rsid w:val="0082343D"/>
    <w:rsid w:val="00823A67"/>
    <w:rsid w:val="008241B5"/>
    <w:rsid w:val="008242C9"/>
    <w:rsid w:val="00824550"/>
    <w:rsid w:val="008273D0"/>
    <w:rsid w:val="0083041C"/>
    <w:rsid w:val="008305C5"/>
    <w:rsid w:val="008309E9"/>
    <w:rsid w:val="00830FDD"/>
    <w:rsid w:val="00831439"/>
    <w:rsid w:val="00831D98"/>
    <w:rsid w:val="00832BCA"/>
    <w:rsid w:val="008332EF"/>
    <w:rsid w:val="00833E78"/>
    <w:rsid w:val="008358F4"/>
    <w:rsid w:val="008371E4"/>
    <w:rsid w:val="00837E29"/>
    <w:rsid w:val="0084248D"/>
    <w:rsid w:val="00842606"/>
    <w:rsid w:val="00842BE4"/>
    <w:rsid w:val="00843312"/>
    <w:rsid w:val="008436BE"/>
    <w:rsid w:val="00843AC0"/>
    <w:rsid w:val="00844F72"/>
    <w:rsid w:val="00845B07"/>
    <w:rsid w:val="008460FE"/>
    <w:rsid w:val="00846A0A"/>
    <w:rsid w:val="00846CBB"/>
    <w:rsid w:val="008471A5"/>
    <w:rsid w:val="00847323"/>
    <w:rsid w:val="00847BBF"/>
    <w:rsid w:val="00847CBC"/>
    <w:rsid w:val="00847DB9"/>
    <w:rsid w:val="00850203"/>
    <w:rsid w:val="008504EF"/>
    <w:rsid w:val="008506B8"/>
    <w:rsid w:val="00850A44"/>
    <w:rsid w:val="00850E57"/>
    <w:rsid w:val="00853C8D"/>
    <w:rsid w:val="00853DBE"/>
    <w:rsid w:val="008543E9"/>
    <w:rsid w:val="00854A95"/>
    <w:rsid w:val="008552AE"/>
    <w:rsid w:val="008559A1"/>
    <w:rsid w:val="00855B4F"/>
    <w:rsid w:val="00856329"/>
    <w:rsid w:val="00856D4A"/>
    <w:rsid w:val="00860AF8"/>
    <w:rsid w:val="00861151"/>
    <w:rsid w:val="0086371F"/>
    <w:rsid w:val="00864086"/>
    <w:rsid w:val="00864C95"/>
    <w:rsid w:val="00864FBC"/>
    <w:rsid w:val="00865CD9"/>
    <w:rsid w:val="00866093"/>
    <w:rsid w:val="00866223"/>
    <w:rsid w:val="008668F8"/>
    <w:rsid w:val="00867370"/>
    <w:rsid w:val="00867D14"/>
    <w:rsid w:val="00871323"/>
    <w:rsid w:val="0087255D"/>
    <w:rsid w:val="0087267A"/>
    <w:rsid w:val="008728DE"/>
    <w:rsid w:val="00872A10"/>
    <w:rsid w:val="00872B82"/>
    <w:rsid w:val="00873A84"/>
    <w:rsid w:val="00873BBE"/>
    <w:rsid w:val="00873FC5"/>
    <w:rsid w:val="00874210"/>
    <w:rsid w:val="00874DD8"/>
    <w:rsid w:val="00874F37"/>
    <w:rsid w:val="00875117"/>
    <w:rsid w:val="00875B05"/>
    <w:rsid w:val="008765DF"/>
    <w:rsid w:val="00876773"/>
    <w:rsid w:val="00876948"/>
    <w:rsid w:val="00877161"/>
    <w:rsid w:val="008772D8"/>
    <w:rsid w:val="00877524"/>
    <w:rsid w:val="00877A94"/>
    <w:rsid w:val="00877ABB"/>
    <w:rsid w:val="0088080F"/>
    <w:rsid w:val="0088183F"/>
    <w:rsid w:val="008831D5"/>
    <w:rsid w:val="008838AB"/>
    <w:rsid w:val="00884C7E"/>
    <w:rsid w:val="00884E81"/>
    <w:rsid w:val="00884F56"/>
    <w:rsid w:val="00885172"/>
    <w:rsid w:val="008853C6"/>
    <w:rsid w:val="00885EB5"/>
    <w:rsid w:val="00886902"/>
    <w:rsid w:val="00887247"/>
    <w:rsid w:val="008876E0"/>
    <w:rsid w:val="00890BD4"/>
    <w:rsid w:val="00890DA2"/>
    <w:rsid w:val="00890DE1"/>
    <w:rsid w:val="0089115B"/>
    <w:rsid w:val="008912F9"/>
    <w:rsid w:val="00891EF6"/>
    <w:rsid w:val="0089218E"/>
    <w:rsid w:val="00892304"/>
    <w:rsid w:val="0089337B"/>
    <w:rsid w:val="00893382"/>
    <w:rsid w:val="008933AF"/>
    <w:rsid w:val="00893976"/>
    <w:rsid w:val="0089411E"/>
    <w:rsid w:val="008941A8"/>
    <w:rsid w:val="00894422"/>
    <w:rsid w:val="008948D1"/>
    <w:rsid w:val="00894B94"/>
    <w:rsid w:val="00895505"/>
    <w:rsid w:val="008969A2"/>
    <w:rsid w:val="0089706F"/>
    <w:rsid w:val="00897796"/>
    <w:rsid w:val="008A0844"/>
    <w:rsid w:val="008A14C6"/>
    <w:rsid w:val="008A1CE8"/>
    <w:rsid w:val="008A1E01"/>
    <w:rsid w:val="008A3123"/>
    <w:rsid w:val="008A3340"/>
    <w:rsid w:val="008A414E"/>
    <w:rsid w:val="008A4ADF"/>
    <w:rsid w:val="008A5106"/>
    <w:rsid w:val="008A5C6D"/>
    <w:rsid w:val="008A5DA7"/>
    <w:rsid w:val="008A6AD6"/>
    <w:rsid w:val="008A6C52"/>
    <w:rsid w:val="008A7F6D"/>
    <w:rsid w:val="008B16B0"/>
    <w:rsid w:val="008B1B6A"/>
    <w:rsid w:val="008B1FDC"/>
    <w:rsid w:val="008B20AC"/>
    <w:rsid w:val="008B25C9"/>
    <w:rsid w:val="008B3E27"/>
    <w:rsid w:val="008B5E23"/>
    <w:rsid w:val="008B5FED"/>
    <w:rsid w:val="008B6577"/>
    <w:rsid w:val="008B6F3B"/>
    <w:rsid w:val="008B6FDF"/>
    <w:rsid w:val="008B7D9E"/>
    <w:rsid w:val="008C02D6"/>
    <w:rsid w:val="008C0485"/>
    <w:rsid w:val="008C0AA3"/>
    <w:rsid w:val="008C0B20"/>
    <w:rsid w:val="008C15F8"/>
    <w:rsid w:val="008C169B"/>
    <w:rsid w:val="008C169C"/>
    <w:rsid w:val="008C2001"/>
    <w:rsid w:val="008C2155"/>
    <w:rsid w:val="008C25D4"/>
    <w:rsid w:val="008C292A"/>
    <w:rsid w:val="008C2A6D"/>
    <w:rsid w:val="008C3764"/>
    <w:rsid w:val="008C3A06"/>
    <w:rsid w:val="008C5947"/>
    <w:rsid w:val="008C6464"/>
    <w:rsid w:val="008C7452"/>
    <w:rsid w:val="008D10D8"/>
    <w:rsid w:val="008D1A15"/>
    <w:rsid w:val="008D1CAA"/>
    <w:rsid w:val="008D1FC3"/>
    <w:rsid w:val="008D2E32"/>
    <w:rsid w:val="008D375B"/>
    <w:rsid w:val="008D41CE"/>
    <w:rsid w:val="008D4742"/>
    <w:rsid w:val="008D4A62"/>
    <w:rsid w:val="008D50F5"/>
    <w:rsid w:val="008D5755"/>
    <w:rsid w:val="008D5834"/>
    <w:rsid w:val="008D64CB"/>
    <w:rsid w:val="008D6E68"/>
    <w:rsid w:val="008D71E7"/>
    <w:rsid w:val="008D7297"/>
    <w:rsid w:val="008E00C4"/>
    <w:rsid w:val="008E0A27"/>
    <w:rsid w:val="008E0B82"/>
    <w:rsid w:val="008E0D1C"/>
    <w:rsid w:val="008E1594"/>
    <w:rsid w:val="008E1F1D"/>
    <w:rsid w:val="008E2586"/>
    <w:rsid w:val="008E2961"/>
    <w:rsid w:val="008E39CF"/>
    <w:rsid w:val="008E3A50"/>
    <w:rsid w:val="008E3DC5"/>
    <w:rsid w:val="008E3EE5"/>
    <w:rsid w:val="008E618F"/>
    <w:rsid w:val="008E7E22"/>
    <w:rsid w:val="008E7EEB"/>
    <w:rsid w:val="008F0AC4"/>
    <w:rsid w:val="008F1276"/>
    <w:rsid w:val="008F1718"/>
    <w:rsid w:val="008F1B03"/>
    <w:rsid w:val="008F28A3"/>
    <w:rsid w:val="008F3460"/>
    <w:rsid w:val="008F348C"/>
    <w:rsid w:val="008F3D45"/>
    <w:rsid w:val="008F535B"/>
    <w:rsid w:val="008F6119"/>
    <w:rsid w:val="008F695E"/>
    <w:rsid w:val="008F70FE"/>
    <w:rsid w:val="008F7B7D"/>
    <w:rsid w:val="008F7D69"/>
    <w:rsid w:val="00900069"/>
    <w:rsid w:val="009005C7"/>
    <w:rsid w:val="00902329"/>
    <w:rsid w:val="00902E6E"/>
    <w:rsid w:val="00903CC2"/>
    <w:rsid w:val="00905820"/>
    <w:rsid w:val="009059FC"/>
    <w:rsid w:val="00905FBD"/>
    <w:rsid w:val="0090613E"/>
    <w:rsid w:val="00906AE9"/>
    <w:rsid w:val="009075C5"/>
    <w:rsid w:val="0091082A"/>
    <w:rsid w:val="00910902"/>
    <w:rsid w:val="00910FC8"/>
    <w:rsid w:val="0091219D"/>
    <w:rsid w:val="00912CF2"/>
    <w:rsid w:val="00912E61"/>
    <w:rsid w:val="00912F47"/>
    <w:rsid w:val="00913A23"/>
    <w:rsid w:val="0091455F"/>
    <w:rsid w:val="009165B0"/>
    <w:rsid w:val="00916F08"/>
    <w:rsid w:val="00917F5F"/>
    <w:rsid w:val="00920CCE"/>
    <w:rsid w:val="0092178B"/>
    <w:rsid w:val="009218F4"/>
    <w:rsid w:val="00922088"/>
    <w:rsid w:val="0092211E"/>
    <w:rsid w:val="00922658"/>
    <w:rsid w:val="009229D5"/>
    <w:rsid w:val="00922A42"/>
    <w:rsid w:val="00922A99"/>
    <w:rsid w:val="00922BB7"/>
    <w:rsid w:val="009233E1"/>
    <w:rsid w:val="009234E7"/>
    <w:rsid w:val="00923932"/>
    <w:rsid w:val="00923CB9"/>
    <w:rsid w:val="0092425A"/>
    <w:rsid w:val="0092447B"/>
    <w:rsid w:val="00924637"/>
    <w:rsid w:val="009259EF"/>
    <w:rsid w:val="00925C41"/>
    <w:rsid w:val="00926784"/>
    <w:rsid w:val="00926978"/>
    <w:rsid w:val="0092699F"/>
    <w:rsid w:val="00926E71"/>
    <w:rsid w:val="0092717F"/>
    <w:rsid w:val="009301BE"/>
    <w:rsid w:val="009309D9"/>
    <w:rsid w:val="009318BF"/>
    <w:rsid w:val="009325A8"/>
    <w:rsid w:val="00932F61"/>
    <w:rsid w:val="0093379D"/>
    <w:rsid w:val="00933EF2"/>
    <w:rsid w:val="00934033"/>
    <w:rsid w:val="00934DBB"/>
    <w:rsid w:val="009359B9"/>
    <w:rsid w:val="0093645A"/>
    <w:rsid w:val="00936963"/>
    <w:rsid w:val="00937148"/>
    <w:rsid w:val="0093762B"/>
    <w:rsid w:val="00940003"/>
    <w:rsid w:val="009403D8"/>
    <w:rsid w:val="009406F3"/>
    <w:rsid w:val="00941D54"/>
    <w:rsid w:val="009420C2"/>
    <w:rsid w:val="00942354"/>
    <w:rsid w:val="009423CA"/>
    <w:rsid w:val="00943441"/>
    <w:rsid w:val="0094357E"/>
    <w:rsid w:val="00944367"/>
    <w:rsid w:val="009447E2"/>
    <w:rsid w:val="00944AB0"/>
    <w:rsid w:val="00944AEE"/>
    <w:rsid w:val="009451E6"/>
    <w:rsid w:val="00945F39"/>
    <w:rsid w:val="0094678C"/>
    <w:rsid w:val="00946E59"/>
    <w:rsid w:val="00946EE2"/>
    <w:rsid w:val="009471E8"/>
    <w:rsid w:val="009475E2"/>
    <w:rsid w:val="009477AC"/>
    <w:rsid w:val="00947A11"/>
    <w:rsid w:val="00947DCC"/>
    <w:rsid w:val="00950B1D"/>
    <w:rsid w:val="00950C5E"/>
    <w:rsid w:val="00950E49"/>
    <w:rsid w:val="00951D48"/>
    <w:rsid w:val="00951DF8"/>
    <w:rsid w:val="0095368E"/>
    <w:rsid w:val="009539D4"/>
    <w:rsid w:val="00955F8D"/>
    <w:rsid w:val="00956968"/>
    <w:rsid w:val="00957259"/>
    <w:rsid w:val="009572E6"/>
    <w:rsid w:val="00957437"/>
    <w:rsid w:val="009574A6"/>
    <w:rsid w:val="00957838"/>
    <w:rsid w:val="00961657"/>
    <w:rsid w:val="009621F6"/>
    <w:rsid w:val="00962D10"/>
    <w:rsid w:val="00962E4B"/>
    <w:rsid w:val="00963872"/>
    <w:rsid w:val="00963C8E"/>
    <w:rsid w:val="00964209"/>
    <w:rsid w:val="009643ED"/>
    <w:rsid w:val="00964CA0"/>
    <w:rsid w:val="00965387"/>
    <w:rsid w:val="009659B5"/>
    <w:rsid w:val="009662B8"/>
    <w:rsid w:val="00966C05"/>
    <w:rsid w:val="00966DEA"/>
    <w:rsid w:val="00970841"/>
    <w:rsid w:val="00970A40"/>
    <w:rsid w:val="00970C11"/>
    <w:rsid w:val="00971AA8"/>
    <w:rsid w:val="00971F35"/>
    <w:rsid w:val="00972D9E"/>
    <w:rsid w:val="0097342F"/>
    <w:rsid w:val="00973784"/>
    <w:rsid w:val="00973DC2"/>
    <w:rsid w:val="0097435C"/>
    <w:rsid w:val="009743BC"/>
    <w:rsid w:val="00974480"/>
    <w:rsid w:val="00974983"/>
    <w:rsid w:val="009805F5"/>
    <w:rsid w:val="0098135F"/>
    <w:rsid w:val="00981DA2"/>
    <w:rsid w:val="00983024"/>
    <w:rsid w:val="00983600"/>
    <w:rsid w:val="00983B69"/>
    <w:rsid w:val="00983B89"/>
    <w:rsid w:val="00983ED3"/>
    <w:rsid w:val="0098402E"/>
    <w:rsid w:val="00984268"/>
    <w:rsid w:val="00984998"/>
    <w:rsid w:val="00984CC0"/>
    <w:rsid w:val="0098539D"/>
    <w:rsid w:val="00986823"/>
    <w:rsid w:val="00990584"/>
    <w:rsid w:val="0099132B"/>
    <w:rsid w:val="00991705"/>
    <w:rsid w:val="00991823"/>
    <w:rsid w:val="00991EAA"/>
    <w:rsid w:val="00993D63"/>
    <w:rsid w:val="00994582"/>
    <w:rsid w:val="00995AFC"/>
    <w:rsid w:val="00996165"/>
    <w:rsid w:val="009965EF"/>
    <w:rsid w:val="009968FE"/>
    <w:rsid w:val="00996D37"/>
    <w:rsid w:val="009974DB"/>
    <w:rsid w:val="009975F5"/>
    <w:rsid w:val="009977F4"/>
    <w:rsid w:val="009A065F"/>
    <w:rsid w:val="009A08ED"/>
    <w:rsid w:val="009A14AB"/>
    <w:rsid w:val="009A1BD6"/>
    <w:rsid w:val="009A2208"/>
    <w:rsid w:val="009A3318"/>
    <w:rsid w:val="009A3610"/>
    <w:rsid w:val="009A61DD"/>
    <w:rsid w:val="009A665B"/>
    <w:rsid w:val="009A6B52"/>
    <w:rsid w:val="009A6EBC"/>
    <w:rsid w:val="009A7AE2"/>
    <w:rsid w:val="009B0292"/>
    <w:rsid w:val="009B0396"/>
    <w:rsid w:val="009B0A22"/>
    <w:rsid w:val="009B0BA5"/>
    <w:rsid w:val="009B0BAD"/>
    <w:rsid w:val="009B2080"/>
    <w:rsid w:val="009B2B71"/>
    <w:rsid w:val="009B3ABB"/>
    <w:rsid w:val="009B4DDB"/>
    <w:rsid w:val="009B6FEC"/>
    <w:rsid w:val="009B774C"/>
    <w:rsid w:val="009B79BA"/>
    <w:rsid w:val="009C0170"/>
    <w:rsid w:val="009C1DB4"/>
    <w:rsid w:val="009C2033"/>
    <w:rsid w:val="009C2DF9"/>
    <w:rsid w:val="009C3338"/>
    <w:rsid w:val="009C35CC"/>
    <w:rsid w:val="009C4FF4"/>
    <w:rsid w:val="009C51CF"/>
    <w:rsid w:val="009C5F14"/>
    <w:rsid w:val="009C6D98"/>
    <w:rsid w:val="009D05E5"/>
    <w:rsid w:val="009D16E0"/>
    <w:rsid w:val="009D1A0A"/>
    <w:rsid w:val="009D5243"/>
    <w:rsid w:val="009D60E6"/>
    <w:rsid w:val="009D63AB"/>
    <w:rsid w:val="009D7B3A"/>
    <w:rsid w:val="009D7CD0"/>
    <w:rsid w:val="009E0F50"/>
    <w:rsid w:val="009E124E"/>
    <w:rsid w:val="009E1C24"/>
    <w:rsid w:val="009E20CC"/>
    <w:rsid w:val="009E3685"/>
    <w:rsid w:val="009E4409"/>
    <w:rsid w:val="009E4AEC"/>
    <w:rsid w:val="009E668A"/>
    <w:rsid w:val="009F0011"/>
    <w:rsid w:val="009F0E77"/>
    <w:rsid w:val="009F1A51"/>
    <w:rsid w:val="009F38CA"/>
    <w:rsid w:val="009F44CA"/>
    <w:rsid w:val="009F51E5"/>
    <w:rsid w:val="009F61AE"/>
    <w:rsid w:val="009F69B4"/>
    <w:rsid w:val="009F7481"/>
    <w:rsid w:val="00A00788"/>
    <w:rsid w:val="00A00A61"/>
    <w:rsid w:val="00A033DD"/>
    <w:rsid w:val="00A049C8"/>
    <w:rsid w:val="00A0577E"/>
    <w:rsid w:val="00A05AFE"/>
    <w:rsid w:val="00A05E9D"/>
    <w:rsid w:val="00A061CC"/>
    <w:rsid w:val="00A06537"/>
    <w:rsid w:val="00A072C3"/>
    <w:rsid w:val="00A07D3F"/>
    <w:rsid w:val="00A1025D"/>
    <w:rsid w:val="00A104FD"/>
    <w:rsid w:val="00A10ED5"/>
    <w:rsid w:val="00A111FB"/>
    <w:rsid w:val="00A12167"/>
    <w:rsid w:val="00A124A6"/>
    <w:rsid w:val="00A128CD"/>
    <w:rsid w:val="00A12B32"/>
    <w:rsid w:val="00A131CF"/>
    <w:rsid w:val="00A13E98"/>
    <w:rsid w:val="00A147D3"/>
    <w:rsid w:val="00A14F89"/>
    <w:rsid w:val="00A15C39"/>
    <w:rsid w:val="00A15F27"/>
    <w:rsid w:val="00A160A4"/>
    <w:rsid w:val="00A16B0F"/>
    <w:rsid w:val="00A171B5"/>
    <w:rsid w:val="00A20B6E"/>
    <w:rsid w:val="00A215A8"/>
    <w:rsid w:val="00A2199A"/>
    <w:rsid w:val="00A21A1D"/>
    <w:rsid w:val="00A21F84"/>
    <w:rsid w:val="00A2226F"/>
    <w:rsid w:val="00A23D2D"/>
    <w:rsid w:val="00A24020"/>
    <w:rsid w:val="00A24350"/>
    <w:rsid w:val="00A244A5"/>
    <w:rsid w:val="00A246CB"/>
    <w:rsid w:val="00A24E87"/>
    <w:rsid w:val="00A26A72"/>
    <w:rsid w:val="00A26F25"/>
    <w:rsid w:val="00A27172"/>
    <w:rsid w:val="00A2796D"/>
    <w:rsid w:val="00A27C36"/>
    <w:rsid w:val="00A307B9"/>
    <w:rsid w:val="00A30BDA"/>
    <w:rsid w:val="00A310B3"/>
    <w:rsid w:val="00A311C6"/>
    <w:rsid w:val="00A31E08"/>
    <w:rsid w:val="00A325F1"/>
    <w:rsid w:val="00A3282A"/>
    <w:rsid w:val="00A33237"/>
    <w:rsid w:val="00A33368"/>
    <w:rsid w:val="00A334A6"/>
    <w:rsid w:val="00A33C1D"/>
    <w:rsid w:val="00A34707"/>
    <w:rsid w:val="00A35ED9"/>
    <w:rsid w:val="00A369EC"/>
    <w:rsid w:val="00A37144"/>
    <w:rsid w:val="00A3757C"/>
    <w:rsid w:val="00A37CED"/>
    <w:rsid w:val="00A37FC4"/>
    <w:rsid w:val="00A404BF"/>
    <w:rsid w:val="00A40D53"/>
    <w:rsid w:val="00A41D7B"/>
    <w:rsid w:val="00A42426"/>
    <w:rsid w:val="00A42F2B"/>
    <w:rsid w:val="00A4336E"/>
    <w:rsid w:val="00A438EB"/>
    <w:rsid w:val="00A43D3F"/>
    <w:rsid w:val="00A43F61"/>
    <w:rsid w:val="00A4406C"/>
    <w:rsid w:val="00A447A3"/>
    <w:rsid w:val="00A4542A"/>
    <w:rsid w:val="00A457C9"/>
    <w:rsid w:val="00A4656B"/>
    <w:rsid w:val="00A46575"/>
    <w:rsid w:val="00A46B96"/>
    <w:rsid w:val="00A46E19"/>
    <w:rsid w:val="00A47F38"/>
    <w:rsid w:val="00A5035E"/>
    <w:rsid w:val="00A5103E"/>
    <w:rsid w:val="00A513A1"/>
    <w:rsid w:val="00A515B6"/>
    <w:rsid w:val="00A522CC"/>
    <w:rsid w:val="00A52894"/>
    <w:rsid w:val="00A52B46"/>
    <w:rsid w:val="00A52F78"/>
    <w:rsid w:val="00A5478B"/>
    <w:rsid w:val="00A55054"/>
    <w:rsid w:val="00A555C2"/>
    <w:rsid w:val="00A55D3D"/>
    <w:rsid w:val="00A56828"/>
    <w:rsid w:val="00A56C14"/>
    <w:rsid w:val="00A575AF"/>
    <w:rsid w:val="00A5784F"/>
    <w:rsid w:val="00A57DFD"/>
    <w:rsid w:val="00A60706"/>
    <w:rsid w:val="00A60868"/>
    <w:rsid w:val="00A6087C"/>
    <w:rsid w:val="00A60AC5"/>
    <w:rsid w:val="00A60BE4"/>
    <w:rsid w:val="00A624DF"/>
    <w:rsid w:val="00A6371B"/>
    <w:rsid w:val="00A649BC"/>
    <w:rsid w:val="00A64AC6"/>
    <w:rsid w:val="00A64C9D"/>
    <w:rsid w:val="00A6526E"/>
    <w:rsid w:val="00A65BCC"/>
    <w:rsid w:val="00A66052"/>
    <w:rsid w:val="00A664F3"/>
    <w:rsid w:val="00A66977"/>
    <w:rsid w:val="00A6716D"/>
    <w:rsid w:val="00A67B10"/>
    <w:rsid w:val="00A70C4E"/>
    <w:rsid w:val="00A70C5A"/>
    <w:rsid w:val="00A717D5"/>
    <w:rsid w:val="00A71A18"/>
    <w:rsid w:val="00A71D3F"/>
    <w:rsid w:val="00A72B97"/>
    <w:rsid w:val="00A73DB4"/>
    <w:rsid w:val="00A749E4"/>
    <w:rsid w:val="00A75070"/>
    <w:rsid w:val="00A75742"/>
    <w:rsid w:val="00A75AA2"/>
    <w:rsid w:val="00A76354"/>
    <w:rsid w:val="00A76A7F"/>
    <w:rsid w:val="00A76FDA"/>
    <w:rsid w:val="00A773A1"/>
    <w:rsid w:val="00A77BB6"/>
    <w:rsid w:val="00A77F2D"/>
    <w:rsid w:val="00A80521"/>
    <w:rsid w:val="00A819A4"/>
    <w:rsid w:val="00A822CD"/>
    <w:rsid w:val="00A8270E"/>
    <w:rsid w:val="00A8276A"/>
    <w:rsid w:val="00A82851"/>
    <w:rsid w:val="00A828DC"/>
    <w:rsid w:val="00A84975"/>
    <w:rsid w:val="00A84E9C"/>
    <w:rsid w:val="00A857FA"/>
    <w:rsid w:val="00A8585A"/>
    <w:rsid w:val="00A85A9F"/>
    <w:rsid w:val="00A8654D"/>
    <w:rsid w:val="00A86A71"/>
    <w:rsid w:val="00A8761A"/>
    <w:rsid w:val="00A876DF"/>
    <w:rsid w:val="00A87C2B"/>
    <w:rsid w:val="00A87E15"/>
    <w:rsid w:val="00A90A5B"/>
    <w:rsid w:val="00A913AE"/>
    <w:rsid w:val="00A91A5E"/>
    <w:rsid w:val="00A92815"/>
    <w:rsid w:val="00A93117"/>
    <w:rsid w:val="00A94011"/>
    <w:rsid w:val="00A95E43"/>
    <w:rsid w:val="00A9602D"/>
    <w:rsid w:val="00A961F9"/>
    <w:rsid w:val="00A96595"/>
    <w:rsid w:val="00A96919"/>
    <w:rsid w:val="00A96CDA"/>
    <w:rsid w:val="00A974B6"/>
    <w:rsid w:val="00A97ABE"/>
    <w:rsid w:val="00A97CBA"/>
    <w:rsid w:val="00AA07E5"/>
    <w:rsid w:val="00AA29EC"/>
    <w:rsid w:val="00AA2F51"/>
    <w:rsid w:val="00AA3A49"/>
    <w:rsid w:val="00AA40AF"/>
    <w:rsid w:val="00AA58CD"/>
    <w:rsid w:val="00AA5C96"/>
    <w:rsid w:val="00AA5DDE"/>
    <w:rsid w:val="00AA764C"/>
    <w:rsid w:val="00AA795A"/>
    <w:rsid w:val="00AB045C"/>
    <w:rsid w:val="00AB07FF"/>
    <w:rsid w:val="00AB0CFA"/>
    <w:rsid w:val="00AB150D"/>
    <w:rsid w:val="00AB173D"/>
    <w:rsid w:val="00AB1AD8"/>
    <w:rsid w:val="00AB1B91"/>
    <w:rsid w:val="00AB271D"/>
    <w:rsid w:val="00AB28BD"/>
    <w:rsid w:val="00AB3E4F"/>
    <w:rsid w:val="00AB4643"/>
    <w:rsid w:val="00AB5409"/>
    <w:rsid w:val="00AB5B07"/>
    <w:rsid w:val="00AB62F6"/>
    <w:rsid w:val="00AB6D81"/>
    <w:rsid w:val="00AB6EC8"/>
    <w:rsid w:val="00AB7274"/>
    <w:rsid w:val="00AB79A3"/>
    <w:rsid w:val="00AC05B4"/>
    <w:rsid w:val="00AC0A06"/>
    <w:rsid w:val="00AC0B9B"/>
    <w:rsid w:val="00AC26EF"/>
    <w:rsid w:val="00AC3193"/>
    <w:rsid w:val="00AC3883"/>
    <w:rsid w:val="00AC4A28"/>
    <w:rsid w:val="00AC4A96"/>
    <w:rsid w:val="00AC4FD5"/>
    <w:rsid w:val="00AC62DE"/>
    <w:rsid w:val="00AC6B18"/>
    <w:rsid w:val="00AC6C5A"/>
    <w:rsid w:val="00AD0BE3"/>
    <w:rsid w:val="00AD103F"/>
    <w:rsid w:val="00AD20E5"/>
    <w:rsid w:val="00AD2449"/>
    <w:rsid w:val="00AD26EA"/>
    <w:rsid w:val="00AD2A83"/>
    <w:rsid w:val="00AD2AA1"/>
    <w:rsid w:val="00AD2E57"/>
    <w:rsid w:val="00AD36DB"/>
    <w:rsid w:val="00AD3947"/>
    <w:rsid w:val="00AD3D1B"/>
    <w:rsid w:val="00AD3E23"/>
    <w:rsid w:val="00AD4F01"/>
    <w:rsid w:val="00AD5BDD"/>
    <w:rsid w:val="00AD6AF2"/>
    <w:rsid w:val="00AD6C8E"/>
    <w:rsid w:val="00AD7402"/>
    <w:rsid w:val="00AD7777"/>
    <w:rsid w:val="00AE117E"/>
    <w:rsid w:val="00AE26B9"/>
    <w:rsid w:val="00AE2A76"/>
    <w:rsid w:val="00AE2E7D"/>
    <w:rsid w:val="00AE324F"/>
    <w:rsid w:val="00AE3D6D"/>
    <w:rsid w:val="00AE3DC2"/>
    <w:rsid w:val="00AE3E49"/>
    <w:rsid w:val="00AE42E0"/>
    <w:rsid w:val="00AE435E"/>
    <w:rsid w:val="00AE51A5"/>
    <w:rsid w:val="00AE77D9"/>
    <w:rsid w:val="00AF05D5"/>
    <w:rsid w:val="00AF1736"/>
    <w:rsid w:val="00AF1B75"/>
    <w:rsid w:val="00AF1F42"/>
    <w:rsid w:val="00AF27BF"/>
    <w:rsid w:val="00AF296E"/>
    <w:rsid w:val="00AF2D8D"/>
    <w:rsid w:val="00AF3123"/>
    <w:rsid w:val="00AF3196"/>
    <w:rsid w:val="00AF37B2"/>
    <w:rsid w:val="00AF405D"/>
    <w:rsid w:val="00AF434B"/>
    <w:rsid w:val="00AF52A5"/>
    <w:rsid w:val="00AF54E7"/>
    <w:rsid w:val="00AF58E7"/>
    <w:rsid w:val="00AF67EC"/>
    <w:rsid w:val="00AF766B"/>
    <w:rsid w:val="00AF7B0F"/>
    <w:rsid w:val="00B00A8C"/>
    <w:rsid w:val="00B00D2A"/>
    <w:rsid w:val="00B01F0C"/>
    <w:rsid w:val="00B02506"/>
    <w:rsid w:val="00B026F6"/>
    <w:rsid w:val="00B032CF"/>
    <w:rsid w:val="00B03CC5"/>
    <w:rsid w:val="00B04372"/>
    <w:rsid w:val="00B04386"/>
    <w:rsid w:val="00B04AE9"/>
    <w:rsid w:val="00B053D7"/>
    <w:rsid w:val="00B06034"/>
    <w:rsid w:val="00B0712A"/>
    <w:rsid w:val="00B0771F"/>
    <w:rsid w:val="00B07E6C"/>
    <w:rsid w:val="00B104C6"/>
    <w:rsid w:val="00B104DF"/>
    <w:rsid w:val="00B1059B"/>
    <w:rsid w:val="00B11364"/>
    <w:rsid w:val="00B11A66"/>
    <w:rsid w:val="00B1269C"/>
    <w:rsid w:val="00B130D0"/>
    <w:rsid w:val="00B130E7"/>
    <w:rsid w:val="00B1317A"/>
    <w:rsid w:val="00B138E0"/>
    <w:rsid w:val="00B13FE8"/>
    <w:rsid w:val="00B14A37"/>
    <w:rsid w:val="00B14F3C"/>
    <w:rsid w:val="00B15F94"/>
    <w:rsid w:val="00B1606C"/>
    <w:rsid w:val="00B16136"/>
    <w:rsid w:val="00B1734D"/>
    <w:rsid w:val="00B20D44"/>
    <w:rsid w:val="00B23466"/>
    <w:rsid w:val="00B23599"/>
    <w:rsid w:val="00B24236"/>
    <w:rsid w:val="00B2448F"/>
    <w:rsid w:val="00B24C23"/>
    <w:rsid w:val="00B26D26"/>
    <w:rsid w:val="00B303E8"/>
    <w:rsid w:val="00B31DEA"/>
    <w:rsid w:val="00B32A8D"/>
    <w:rsid w:val="00B33D87"/>
    <w:rsid w:val="00B33D89"/>
    <w:rsid w:val="00B340BD"/>
    <w:rsid w:val="00B34384"/>
    <w:rsid w:val="00B345FE"/>
    <w:rsid w:val="00B366A4"/>
    <w:rsid w:val="00B36823"/>
    <w:rsid w:val="00B36CCB"/>
    <w:rsid w:val="00B36CFC"/>
    <w:rsid w:val="00B36D3D"/>
    <w:rsid w:val="00B37804"/>
    <w:rsid w:val="00B37CFC"/>
    <w:rsid w:val="00B405B9"/>
    <w:rsid w:val="00B40C2D"/>
    <w:rsid w:val="00B410E7"/>
    <w:rsid w:val="00B42828"/>
    <w:rsid w:val="00B432E5"/>
    <w:rsid w:val="00B4439E"/>
    <w:rsid w:val="00B4536D"/>
    <w:rsid w:val="00B45719"/>
    <w:rsid w:val="00B45778"/>
    <w:rsid w:val="00B460DE"/>
    <w:rsid w:val="00B46CAD"/>
    <w:rsid w:val="00B47BEB"/>
    <w:rsid w:val="00B47D4C"/>
    <w:rsid w:val="00B5031B"/>
    <w:rsid w:val="00B50A55"/>
    <w:rsid w:val="00B50BEE"/>
    <w:rsid w:val="00B51026"/>
    <w:rsid w:val="00B5139E"/>
    <w:rsid w:val="00B51857"/>
    <w:rsid w:val="00B51C21"/>
    <w:rsid w:val="00B52351"/>
    <w:rsid w:val="00B524F9"/>
    <w:rsid w:val="00B53AB3"/>
    <w:rsid w:val="00B54B7A"/>
    <w:rsid w:val="00B54D49"/>
    <w:rsid w:val="00B55199"/>
    <w:rsid w:val="00B559C7"/>
    <w:rsid w:val="00B55EF3"/>
    <w:rsid w:val="00B56079"/>
    <w:rsid w:val="00B5648C"/>
    <w:rsid w:val="00B5681A"/>
    <w:rsid w:val="00B56BE0"/>
    <w:rsid w:val="00B5758E"/>
    <w:rsid w:val="00B57DA3"/>
    <w:rsid w:val="00B61183"/>
    <w:rsid w:val="00B6224E"/>
    <w:rsid w:val="00B623CB"/>
    <w:rsid w:val="00B62E35"/>
    <w:rsid w:val="00B62EBA"/>
    <w:rsid w:val="00B62F97"/>
    <w:rsid w:val="00B638D4"/>
    <w:rsid w:val="00B63A33"/>
    <w:rsid w:val="00B63CAF"/>
    <w:rsid w:val="00B652E5"/>
    <w:rsid w:val="00B65DD8"/>
    <w:rsid w:val="00B6775C"/>
    <w:rsid w:val="00B67CB8"/>
    <w:rsid w:val="00B7065E"/>
    <w:rsid w:val="00B70888"/>
    <w:rsid w:val="00B710D1"/>
    <w:rsid w:val="00B714D5"/>
    <w:rsid w:val="00B7188E"/>
    <w:rsid w:val="00B71E45"/>
    <w:rsid w:val="00B71E64"/>
    <w:rsid w:val="00B738A8"/>
    <w:rsid w:val="00B738B8"/>
    <w:rsid w:val="00B73C8E"/>
    <w:rsid w:val="00B73E02"/>
    <w:rsid w:val="00B7451F"/>
    <w:rsid w:val="00B76D21"/>
    <w:rsid w:val="00B76F51"/>
    <w:rsid w:val="00B7743F"/>
    <w:rsid w:val="00B7749A"/>
    <w:rsid w:val="00B77703"/>
    <w:rsid w:val="00B801C7"/>
    <w:rsid w:val="00B8092B"/>
    <w:rsid w:val="00B81356"/>
    <w:rsid w:val="00B81B5E"/>
    <w:rsid w:val="00B81F7A"/>
    <w:rsid w:val="00B825C4"/>
    <w:rsid w:val="00B827A1"/>
    <w:rsid w:val="00B83FC3"/>
    <w:rsid w:val="00B84074"/>
    <w:rsid w:val="00B845B1"/>
    <w:rsid w:val="00B84AE7"/>
    <w:rsid w:val="00B84FCE"/>
    <w:rsid w:val="00B85DC9"/>
    <w:rsid w:val="00B86328"/>
    <w:rsid w:val="00B86BCE"/>
    <w:rsid w:val="00B87289"/>
    <w:rsid w:val="00B877AF"/>
    <w:rsid w:val="00B87C48"/>
    <w:rsid w:val="00B9009F"/>
    <w:rsid w:val="00B90D69"/>
    <w:rsid w:val="00B92E0E"/>
    <w:rsid w:val="00B932A1"/>
    <w:rsid w:val="00B93D42"/>
    <w:rsid w:val="00B94910"/>
    <w:rsid w:val="00B95567"/>
    <w:rsid w:val="00B96899"/>
    <w:rsid w:val="00B96C00"/>
    <w:rsid w:val="00B9700F"/>
    <w:rsid w:val="00B97A85"/>
    <w:rsid w:val="00B97AB6"/>
    <w:rsid w:val="00B97E6F"/>
    <w:rsid w:val="00BA03B3"/>
    <w:rsid w:val="00BA04C7"/>
    <w:rsid w:val="00BA0BAF"/>
    <w:rsid w:val="00BA0C83"/>
    <w:rsid w:val="00BA1A39"/>
    <w:rsid w:val="00BA1AEB"/>
    <w:rsid w:val="00BA2DEC"/>
    <w:rsid w:val="00BA3749"/>
    <w:rsid w:val="00BA4359"/>
    <w:rsid w:val="00BA523F"/>
    <w:rsid w:val="00BA5CCB"/>
    <w:rsid w:val="00BA5DFC"/>
    <w:rsid w:val="00BA5E0A"/>
    <w:rsid w:val="00BA5EED"/>
    <w:rsid w:val="00BA602D"/>
    <w:rsid w:val="00BA645A"/>
    <w:rsid w:val="00BA68FA"/>
    <w:rsid w:val="00BA70BF"/>
    <w:rsid w:val="00BA75A3"/>
    <w:rsid w:val="00BA77EA"/>
    <w:rsid w:val="00BB01FD"/>
    <w:rsid w:val="00BB1D28"/>
    <w:rsid w:val="00BB1F7B"/>
    <w:rsid w:val="00BB2B10"/>
    <w:rsid w:val="00BB2B83"/>
    <w:rsid w:val="00BB38B2"/>
    <w:rsid w:val="00BB435C"/>
    <w:rsid w:val="00BB4458"/>
    <w:rsid w:val="00BB46F0"/>
    <w:rsid w:val="00BB48CB"/>
    <w:rsid w:val="00BB4B93"/>
    <w:rsid w:val="00BB540C"/>
    <w:rsid w:val="00BB6517"/>
    <w:rsid w:val="00BB657D"/>
    <w:rsid w:val="00BB6850"/>
    <w:rsid w:val="00BB68F3"/>
    <w:rsid w:val="00BB6D22"/>
    <w:rsid w:val="00BB77AA"/>
    <w:rsid w:val="00BB784F"/>
    <w:rsid w:val="00BC16BD"/>
    <w:rsid w:val="00BC1A91"/>
    <w:rsid w:val="00BC2361"/>
    <w:rsid w:val="00BC27F4"/>
    <w:rsid w:val="00BC3DC4"/>
    <w:rsid w:val="00BC44F5"/>
    <w:rsid w:val="00BC4DC6"/>
    <w:rsid w:val="00BC52D4"/>
    <w:rsid w:val="00BC61BE"/>
    <w:rsid w:val="00BC642E"/>
    <w:rsid w:val="00BC6A5F"/>
    <w:rsid w:val="00BC6C04"/>
    <w:rsid w:val="00BC7719"/>
    <w:rsid w:val="00BD0D70"/>
    <w:rsid w:val="00BD0E0B"/>
    <w:rsid w:val="00BD1CDF"/>
    <w:rsid w:val="00BD25D1"/>
    <w:rsid w:val="00BD2921"/>
    <w:rsid w:val="00BD445B"/>
    <w:rsid w:val="00BD4480"/>
    <w:rsid w:val="00BD5A04"/>
    <w:rsid w:val="00BD5BA8"/>
    <w:rsid w:val="00BD620E"/>
    <w:rsid w:val="00BD631F"/>
    <w:rsid w:val="00BD706F"/>
    <w:rsid w:val="00BD7276"/>
    <w:rsid w:val="00BD7551"/>
    <w:rsid w:val="00BD79E6"/>
    <w:rsid w:val="00BE09AE"/>
    <w:rsid w:val="00BE0F21"/>
    <w:rsid w:val="00BE25B9"/>
    <w:rsid w:val="00BE2FD3"/>
    <w:rsid w:val="00BE317B"/>
    <w:rsid w:val="00BE3BA2"/>
    <w:rsid w:val="00BE4F80"/>
    <w:rsid w:val="00BE5207"/>
    <w:rsid w:val="00BE5CEE"/>
    <w:rsid w:val="00BE5E48"/>
    <w:rsid w:val="00BE6084"/>
    <w:rsid w:val="00BE6125"/>
    <w:rsid w:val="00BE6407"/>
    <w:rsid w:val="00BE7A81"/>
    <w:rsid w:val="00BE7BE6"/>
    <w:rsid w:val="00BF024C"/>
    <w:rsid w:val="00BF0970"/>
    <w:rsid w:val="00BF1CDA"/>
    <w:rsid w:val="00BF24F7"/>
    <w:rsid w:val="00BF2BA7"/>
    <w:rsid w:val="00BF42DA"/>
    <w:rsid w:val="00BF4A11"/>
    <w:rsid w:val="00BF69C8"/>
    <w:rsid w:val="00BF6A10"/>
    <w:rsid w:val="00BF6D2E"/>
    <w:rsid w:val="00BF7C55"/>
    <w:rsid w:val="00C00B69"/>
    <w:rsid w:val="00C00BDA"/>
    <w:rsid w:val="00C028CC"/>
    <w:rsid w:val="00C02E9C"/>
    <w:rsid w:val="00C0304B"/>
    <w:rsid w:val="00C03057"/>
    <w:rsid w:val="00C037B3"/>
    <w:rsid w:val="00C0397C"/>
    <w:rsid w:val="00C03B93"/>
    <w:rsid w:val="00C04C4D"/>
    <w:rsid w:val="00C0598F"/>
    <w:rsid w:val="00C05B63"/>
    <w:rsid w:val="00C05BA5"/>
    <w:rsid w:val="00C0654B"/>
    <w:rsid w:val="00C06591"/>
    <w:rsid w:val="00C07379"/>
    <w:rsid w:val="00C1057B"/>
    <w:rsid w:val="00C10A53"/>
    <w:rsid w:val="00C10AB6"/>
    <w:rsid w:val="00C12316"/>
    <w:rsid w:val="00C12A6B"/>
    <w:rsid w:val="00C12AAF"/>
    <w:rsid w:val="00C12E15"/>
    <w:rsid w:val="00C13549"/>
    <w:rsid w:val="00C13637"/>
    <w:rsid w:val="00C13657"/>
    <w:rsid w:val="00C145BA"/>
    <w:rsid w:val="00C14AA2"/>
    <w:rsid w:val="00C14E04"/>
    <w:rsid w:val="00C15877"/>
    <w:rsid w:val="00C15D92"/>
    <w:rsid w:val="00C16CA1"/>
    <w:rsid w:val="00C20286"/>
    <w:rsid w:val="00C20C34"/>
    <w:rsid w:val="00C216C4"/>
    <w:rsid w:val="00C21889"/>
    <w:rsid w:val="00C21C2E"/>
    <w:rsid w:val="00C22AA5"/>
    <w:rsid w:val="00C23C5F"/>
    <w:rsid w:val="00C2416F"/>
    <w:rsid w:val="00C244A8"/>
    <w:rsid w:val="00C24EFD"/>
    <w:rsid w:val="00C24F15"/>
    <w:rsid w:val="00C25A29"/>
    <w:rsid w:val="00C25D69"/>
    <w:rsid w:val="00C25F8F"/>
    <w:rsid w:val="00C2723C"/>
    <w:rsid w:val="00C27C05"/>
    <w:rsid w:val="00C30321"/>
    <w:rsid w:val="00C30A18"/>
    <w:rsid w:val="00C320BE"/>
    <w:rsid w:val="00C321D0"/>
    <w:rsid w:val="00C32DD2"/>
    <w:rsid w:val="00C332AC"/>
    <w:rsid w:val="00C3437E"/>
    <w:rsid w:val="00C3491B"/>
    <w:rsid w:val="00C34BA2"/>
    <w:rsid w:val="00C34CF9"/>
    <w:rsid w:val="00C37532"/>
    <w:rsid w:val="00C3782B"/>
    <w:rsid w:val="00C40B52"/>
    <w:rsid w:val="00C41FBA"/>
    <w:rsid w:val="00C42DC8"/>
    <w:rsid w:val="00C42E16"/>
    <w:rsid w:val="00C43DB3"/>
    <w:rsid w:val="00C43E90"/>
    <w:rsid w:val="00C44047"/>
    <w:rsid w:val="00C4482D"/>
    <w:rsid w:val="00C4593A"/>
    <w:rsid w:val="00C467A4"/>
    <w:rsid w:val="00C470FF"/>
    <w:rsid w:val="00C47DDC"/>
    <w:rsid w:val="00C501DA"/>
    <w:rsid w:val="00C50C54"/>
    <w:rsid w:val="00C51277"/>
    <w:rsid w:val="00C52620"/>
    <w:rsid w:val="00C52799"/>
    <w:rsid w:val="00C54F87"/>
    <w:rsid w:val="00C5533E"/>
    <w:rsid w:val="00C55481"/>
    <w:rsid w:val="00C5587E"/>
    <w:rsid w:val="00C55FAA"/>
    <w:rsid w:val="00C562EB"/>
    <w:rsid w:val="00C5689D"/>
    <w:rsid w:val="00C571E3"/>
    <w:rsid w:val="00C579A5"/>
    <w:rsid w:val="00C6100D"/>
    <w:rsid w:val="00C617C9"/>
    <w:rsid w:val="00C61C3E"/>
    <w:rsid w:val="00C61F42"/>
    <w:rsid w:val="00C62136"/>
    <w:rsid w:val="00C62363"/>
    <w:rsid w:val="00C62385"/>
    <w:rsid w:val="00C629F1"/>
    <w:rsid w:val="00C62AC9"/>
    <w:rsid w:val="00C62FDC"/>
    <w:rsid w:val="00C630D4"/>
    <w:rsid w:val="00C63132"/>
    <w:rsid w:val="00C635D8"/>
    <w:rsid w:val="00C63CE6"/>
    <w:rsid w:val="00C645CD"/>
    <w:rsid w:val="00C64BA8"/>
    <w:rsid w:val="00C65645"/>
    <w:rsid w:val="00C6586C"/>
    <w:rsid w:val="00C65DD6"/>
    <w:rsid w:val="00C66350"/>
    <w:rsid w:val="00C664CD"/>
    <w:rsid w:val="00C66F79"/>
    <w:rsid w:val="00C674F9"/>
    <w:rsid w:val="00C67AB2"/>
    <w:rsid w:val="00C67D1D"/>
    <w:rsid w:val="00C70ADB"/>
    <w:rsid w:val="00C71784"/>
    <w:rsid w:val="00C717F4"/>
    <w:rsid w:val="00C7338B"/>
    <w:rsid w:val="00C73AE5"/>
    <w:rsid w:val="00C74C2D"/>
    <w:rsid w:val="00C75C2E"/>
    <w:rsid w:val="00C763D8"/>
    <w:rsid w:val="00C76E71"/>
    <w:rsid w:val="00C80140"/>
    <w:rsid w:val="00C8019A"/>
    <w:rsid w:val="00C807AF"/>
    <w:rsid w:val="00C80CB7"/>
    <w:rsid w:val="00C80D89"/>
    <w:rsid w:val="00C81022"/>
    <w:rsid w:val="00C81823"/>
    <w:rsid w:val="00C81881"/>
    <w:rsid w:val="00C82480"/>
    <w:rsid w:val="00C82FDC"/>
    <w:rsid w:val="00C82FF1"/>
    <w:rsid w:val="00C830EC"/>
    <w:rsid w:val="00C84080"/>
    <w:rsid w:val="00C8413C"/>
    <w:rsid w:val="00C84988"/>
    <w:rsid w:val="00C84DE3"/>
    <w:rsid w:val="00C85893"/>
    <w:rsid w:val="00C85BF3"/>
    <w:rsid w:val="00C86391"/>
    <w:rsid w:val="00C87D19"/>
    <w:rsid w:val="00C902C4"/>
    <w:rsid w:val="00C90570"/>
    <w:rsid w:val="00C9182D"/>
    <w:rsid w:val="00C92509"/>
    <w:rsid w:val="00C9329D"/>
    <w:rsid w:val="00C94457"/>
    <w:rsid w:val="00C9579E"/>
    <w:rsid w:val="00C95D66"/>
    <w:rsid w:val="00C9630A"/>
    <w:rsid w:val="00C966B2"/>
    <w:rsid w:val="00C96A07"/>
    <w:rsid w:val="00C96F15"/>
    <w:rsid w:val="00C97539"/>
    <w:rsid w:val="00CA0259"/>
    <w:rsid w:val="00CA0973"/>
    <w:rsid w:val="00CA165D"/>
    <w:rsid w:val="00CA19F0"/>
    <w:rsid w:val="00CA2970"/>
    <w:rsid w:val="00CA2DBB"/>
    <w:rsid w:val="00CA2E9B"/>
    <w:rsid w:val="00CA364F"/>
    <w:rsid w:val="00CA4121"/>
    <w:rsid w:val="00CA544C"/>
    <w:rsid w:val="00CA5B67"/>
    <w:rsid w:val="00CA66CB"/>
    <w:rsid w:val="00CA78AB"/>
    <w:rsid w:val="00CA7AF1"/>
    <w:rsid w:val="00CB026B"/>
    <w:rsid w:val="00CB037C"/>
    <w:rsid w:val="00CB0617"/>
    <w:rsid w:val="00CB0620"/>
    <w:rsid w:val="00CB1AA0"/>
    <w:rsid w:val="00CB2D0E"/>
    <w:rsid w:val="00CB3088"/>
    <w:rsid w:val="00CB330C"/>
    <w:rsid w:val="00CB3320"/>
    <w:rsid w:val="00CB386D"/>
    <w:rsid w:val="00CB416B"/>
    <w:rsid w:val="00CB4456"/>
    <w:rsid w:val="00CB4CB3"/>
    <w:rsid w:val="00CB5A8E"/>
    <w:rsid w:val="00CB70F3"/>
    <w:rsid w:val="00CB71A7"/>
    <w:rsid w:val="00CB7AFC"/>
    <w:rsid w:val="00CC19F5"/>
    <w:rsid w:val="00CC251F"/>
    <w:rsid w:val="00CC2614"/>
    <w:rsid w:val="00CC2F72"/>
    <w:rsid w:val="00CC3316"/>
    <w:rsid w:val="00CC43DF"/>
    <w:rsid w:val="00CC4828"/>
    <w:rsid w:val="00CC5292"/>
    <w:rsid w:val="00CC5633"/>
    <w:rsid w:val="00CC6222"/>
    <w:rsid w:val="00CC633A"/>
    <w:rsid w:val="00CC697A"/>
    <w:rsid w:val="00CC7372"/>
    <w:rsid w:val="00CC7566"/>
    <w:rsid w:val="00CC7FFB"/>
    <w:rsid w:val="00CD04AB"/>
    <w:rsid w:val="00CD121B"/>
    <w:rsid w:val="00CD1415"/>
    <w:rsid w:val="00CD147B"/>
    <w:rsid w:val="00CD170C"/>
    <w:rsid w:val="00CD2A73"/>
    <w:rsid w:val="00CD2A88"/>
    <w:rsid w:val="00CD4647"/>
    <w:rsid w:val="00CD4B9A"/>
    <w:rsid w:val="00CD4DDC"/>
    <w:rsid w:val="00CD506B"/>
    <w:rsid w:val="00CD5469"/>
    <w:rsid w:val="00CD56D3"/>
    <w:rsid w:val="00CD69A6"/>
    <w:rsid w:val="00CD71B2"/>
    <w:rsid w:val="00CD79DF"/>
    <w:rsid w:val="00CE05FF"/>
    <w:rsid w:val="00CE0A66"/>
    <w:rsid w:val="00CE0FC8"/>
    <w:rsid w:val="00CE0FD5"/>
    <w:rsid w:val="00CE175D"/>
    <w:rsid w:val="00CE1930"/>
    <w:rsid w:val="00CE1BBD"/>
    <w:rsid w:val="00CE21F6"/>
    <w:rsid w:val="00CE23D3"/>
    <w:rsid w:val="00CE433F"/>
    <w:rsid w:val="00CE527C"/>
    <w:rsid w:val="00CE5547"/>
    <w:rsid w:val="00CE6E3D"/>
    <w:rsid w:val="00CF03BA"/>
    <w:rsid w:val="00CF09D1"/>
    <w:rsid w:val="00CF0AC6"/>
    <w:rsid w:val="00CF0BB1"/>
    <w:rsid w:val="00CF1BF6"/>
    <w:rsid w:val="00CF20D6"/>
    <w:rsid w:val="00CF2374"/>
    <w:rsid w:val="00CF2A6A"/>
    <w:rsid w:val="00CF3848"/>
    <w:rsid w:val="00CF3BE3"/>
    <w:rsid w:val="00CF42DF"/>
    <w:rsid w:val="00CF49AB"/>
    <w:rsid w:val="00CF56CC"/>
    <w:rsid w:val="00CF6498"/>
    <w:rsid w:val="00CF6677"/>
    <w:rsid w:val="00CF6EE0"/>
    <w:rsid w:val="00CF7217"/>
    <w:rsid w:val="00D00E49"/>
    <w:rsid w:val="00D01540"/>
    <w:rsid w:val="00D016D9"/>
    <w:rsid w:val="00D019B5"/>
    <w:rsid w:val="00D03233"/>
    <w:rsid w:val="00D03B07"/>
    <w:rsid w:val="00D03F7F"/>
    <w:rsid w:val="00D049D8"/>
    <w:rsid w:val="00D05DC4"/>
    <w:rsid w:val="00D05E2E"/>
    <w:rsid w:val="00D062F0"/>
    <w:rsid w:val="00D069CE"/>
    <w:rsid w:val="00D06DA0"/>
    <w:rsid w:val="00D0700D"/>
    <w:rsid w:val="00D07408"/>
    <w:rsid w:val="00D07AE7"/>
    <w:rsid w:val="00D07D1C"/>
    <w:rsid w:val="00D11888"/>
    <w:rsid w:val="00D11928"/>
    <w:rsid w:val="00D12D6A"/>
    <w:rsid w:val="00D13093"/>
    <w:rsid w:val="00D13205"/>
    <w:rsid w:val="00D13320"/>
    <w:rsid w:val="00D14B9A"/>
    <w:rsid w:val="00D1614D"/>
    <w:rsid w:val="00D16629"/>
    <w:rsid w:val="00D166EB"/>
    <w:rsid w:val="00D17813"/>
    <w:rsid w:val="00D17F37"/>
    <w:rsid w:val="00D20069"/>
    <w:rsid w:val="00D20AA9"/>
    <w:rsid w:val="00D21634"/>
    <w:rsid w:val="00D22794"/>
    <w:rsid w:val="00D22978"/>
    <w:rsid w:val="00D231FA"/>
    <w:rsid w:val="00D23552"/>
    <w:rsid w:val="00D24295"/>
    <w:rsid w:val="00D2496A"/>
    <w:rsid w:val="00D273BB"/>
    <w:rsid w:val="00D27EA5"/>
    <w:rsid w:val="00D305AD"/>
    <w:rsid w:val="00D3071E"/>
    <w:rsid w:val="00D308BA"/>
    <w:rsid w:val="00D30D03"/>
    <w:rsid w:val="00D31091"/>
    <w:rsid w:val="00D31E38"/>
    <w:rsid w:val="00D3401E"/>
    <w:rsid w:val="00D35235"/>
    <w:rsid w:val="00D36912"/>
    <w:rsid w:val="00D3700A"/>
    <w:rsid w:val="00D374BD"/>
    <w:rsid w:val="00D401DF"/>
    <w:rsid w:val="00D40F40"/>
    <w:rsid w:val="00D4139C"/>
    <w:rsid w:val="00D413DA"/>
    <w:rsid w:val="00D418BA"/>
    <w:rsid w:val="00D43C38"/>
    <w:rsid w:val="00D44324"/>
    <w:rsid w:val="00D44959"/>
    <w:rsid w:val="00D44D19"/>
    <w:rsid w:val="00D44F2C"/>
    <w:rsid w:val="00D454B0"/>
    <w:rsid w:val="00D46013"/>
    <w:rsid w:val="00D472DF"/>
    <w:rsid w:val="00D47739"/>
    <w:rsid w:val="00D47C03"/>
    <w:rsid w:val="00D5019A"/>
    <w:rsid w:val="00D50254"/>
    <w:rsid w:val="00D50933"/>
    <w:rsid w:val="00D53D67"/>
    <w:rsid w:val="00D54356"/>
    <w:rsid w:val="00D55ECB"/>
    <w:rsid w:val="00D56B8E"/>
    <w:rsid w:val="00D56D7C"/>
    <w:rsid w:val="00D57037"/>
    <w:rsid w:val="00D57592"/>
    <w:rsid w:val="00D57E15"/>
    <w:rsid w:val="00D60AD2"/>
    <w:rsid w:val="00D617AA"/>
    <w:rsid w:val="00D61E5D"/>
    <w:rsid w:val="00D62452"/>
    <w:rsid w:val="00D65552"/>
    <w:rsid w:val="00D655C3"/>
    <w:rsid w:val="00D66B48"/>
    <w:rsid w:val="00D670AF"/>
    <w:rsid w:val="00D67220"/>
    <w:rsid w:val="00D6794A"/>
    <w:rsid w:val="00D67C84"/>
    <w:rsid w:val="00D70A94"/>
    <w:rsid w:val="00D70E5E"/>
    <w:rsid w:val="00D71C06"/>
    <w:rsid w:val="00D71CA6"/>
    <w:rsid w:val="00D7211F"/>
    <w:rsid w:val="00D728E5"/>
    <w:rsid w:val="00D74BBF"/>
    <w:rsid w:val="00D77D62"/>
    <w:rsid w:val="00D8051F"/>
    <w:rsid w:val="00D805C3"/>
    <w:rsid w:val="00D80863"/>
    <w:rsid w:val="00D8122B"/>
    <w:rsid w:val="00D82C22"/>
    <w:rsid w:val="00D8359C"/>
    <w:rsid w:val="00D841D2"/>
    <w:rsid w:val="00D845D2"/>
    <w:rsid w:val="00D84792"/>
    <w:rsid w:val="00D847CE"/>
    <w:rsid w:val="00D84B93"/>
    <w:rsid w:val="00D87768"/>
    <w:rsid w:val="00D87822"/>
    <w:rsid w:val="00D879DB"/>
    <w:rsid w:val="00D87CBD"/>
    <w:rsid w:val="00D905F4"/>
    <w:rsid w:val="00D90A98"/>
    <w:rsid w:val="00D92EAB"/>
    <w:rsid w:val="00D9376D"/>
    <w:rsid w:val="00D93C81"/>
    <w:rsid w:val="00D94150"/>
    <w:rsid w:val="00D94218"/>
    <w:rsid w:val="00D94D58"/>
    <w:rsid w:val="00D9655A"/>
    <w:rsid w:val="00D97A48"/>
    <w:rsid w:val="00D97DFA"/>
    <w:rsid w:val="00DA0884"/>
    <w:rsid w:val="00DA15C5"/>
    <w:rsid w:val="00DA1DAE"/>
    <w:rsid w:val="00DA1E5C"/>
    <w:rsid w:val="00DA1EE7"/>
    <w:rsid w:val="00DA20D2"/>
    <w:rsid w:val="00DA2DFF"/>
    <w:rsid w:val="00DA32D8"/>
    <w:rsid w:val="00DA3317"/>
    <w:rsid w:val="00DA39AB"/>
    <w:rsid w:val="00DA3BC9"/>
    <w:rsid w:val="00DA4163"/>
    <w:rsid w:val="00DA4242"/>
    <w:rsid w:val="00DA49FE"/>
    <w:rsid w:val="00DA5937"/>
    <w:rsid w:val="00DA7404"/>
    <w:rsid w:val="00DA7635"/>
    <w:rsid w:val="00DB0DD3"/>
    <w:rsid w:val="00DB0F49"/>
    <w:rsid w:val="00DB2669"/>
    <w:rsid w:val="00DB28EC"/>
    <w:rsid w:val="00DB2FF0"/>
    <w:rsid w:val="00DB4870"/>
    <w:rsid w:val="00DB4B68"/>
    <w:rsid w:val="00DB4DDC"/>
    <w:rsid w:val="00DB599A"/>
    <w:rsid w:val="00DB60A0"/>
    <w:rsid w:val="00DB6200"/>
    <w:rsid w:val="00DB66F8"/>
    <w:rsid w:val="00DB67B9"/>
    <w:rsid w:val="00DB727A"/>
    <w:rsid w:val="00DB7E15"/>
    <w:rsid w:val="00DC13CE"/>
    <w:rsid w:val="00DC1B52"/>
    <w:rsid w:val="00DC2995"/>
    <w:rsid w:val="00DC34E7"/>
    <w:rsid w:val="00DC3601"/>
    <w:rsid w:val="00DC3B8D"/>
    <w:rsid w:val="00DC3D54"/>
    <w:rsid w:val="00DC4BA1"/>
    <w:rsid w:val="00DC4BAF"/>
    <w:rsid w:val="00DC58B0"/>
    <w:rsid w:val="00DC61A0"/>
    <w:rsid w:val="00DC79B9"/>
    <w:rsid w:val="00DD0460"/>
    <w:rsid w:val="00DD09AD"/>
    <w:rsid w:val="00DD124A"/>
    <w:rsid w:val="00DD25F7"/>
    <w:rsid w:val="00DD364B"/>
    <w:rsid w:val="00DD380E"/>
    <w:rsid w:val="00DD41A9"/>
    <w:rsid w:val="00DD4809"/>
    <w:rsid w:val="00DD5783"/>
    <w:rsid w:val="00DD5FC2"/>
    <w:rsid w:val="00DD6338"/>
    <w:rsid w:val="00DD63A7"/>
    <w:rsid w:val="00DD6F6A"/>
    <w:rsid w:val="00DE0307"/>
    <w:rsid w:val="00DE0936"/>
    <w:rsid w:val="00DE0B24"/>
    <w:rsid w:val="00DE162E"/>
    <w:rsid w:val="00DE1D86"/>
    <w:rsid w:val="00DE1EAC"/>
    <w:rsid w:val="00DE25D8"/>
    <w:rsid w:val="00DE423B"/>
    <w:rsid w:val="00DE47F9"/>
    <w:rsid w:val="00DE489D"/>
    <w:rsid w:val="00DE5E3E"/>
    <w:rsid w:val="00DE6811"/>
    <w:rsid w:val="00DE6B14"/>
    <w:rsid w:val="00DE6F79"/>
    <w:rsid w:val="00DE72AF"/>
    <w:rsid w:val="00DE7C27"/>
    <w:rsid w:val="00DF05D4"/>
    <w:rsid w:val="00DF06FA"/>
    <w:rsid w:val="00DF1727"/>
    <w:rsid w:val="00DF1B9B"/>
    <w:rsid w:val="00DF1C0F"/>
    <w:rsid w:val="00DF22D9"/>
    <w:rsid w:val="00DF36A6"/>
    <w:rsid w:val="00DF3DDA"/>
    <w:rsid w:val="00DF429E"/>
    <w:rsid w:val="00DF4A10"/>
    <w:rsid w:val="00DF76AC"/>
    <w:rsid w:val="00DF7BD9"/>
    <w:rsid w:val="00DF7BDB"/>
    <w:rsid w:val="00DF7C97"/>
    <w:rsid w:val="00E007C9"/>
    <w:rsid w:val="00E03839"/>
    <w:rsid w:val="00E03E34"/>
    <w:rsid w:val="00E04317"/>
    <w:rsid w:val="00E049AA"/>
    <w:rsid w:val="00E062C4"/>
    <w:rsid w:val="00E06648"/>
    <w:rsid w:val="00E06667"/>
    <w:rsid w:val="00E06B4B"/>
    <w:rsid w:val="00E07616"/>
    <w:rsid w:val="00E078D6"/>
    <w:rsid w:val="00E10824"/>
    <w:rsid w:val="00E1160D"/>
    <w:rsid w:val="00E132E2"/>
    <w:rsid w:val="00E136CF"/>
    <w:rsid w:val="00E14880"/>
    <w:rsid w:val="00E15148"/>
    <w:rsid w:val="00E158EA"/>
    <w:rsid w:val="00E166E9"/>
    <w:rsid w:val="00E16C3F"/>
    <w:rsid w:val="00E176BA"/>
    <w:rsid w:val="00E179E5"/>
    <w:rsid w:val="00E20B2F"/>
    <w:rsid w:val="00E20F96"/>
    <w:rsid w:val="00E20FE2"/>
    <w:rsid w:val="00E214D8"/>
    <w:rsid w:val="00E21850"/>
    <w:rsid w:val="00E227FF"/>
    <w:rsid w:val="00E22B01"/>
    <w:rsid w:val="00E22C44"/>
    <w:rsid w:val="00E23183"/>
    <w:rsid w:val="00E236DE"/>
    <w:rsid w:val="00E23A33"/>
    <w:rsid w:val="00E23E1F"/>
    <w:rsid w:val="00E24C32"/>
    <w:rsid w:val="00E24D05"/>
    <w:rsid w:val="00E267D3"/>
    <w:rsid w:val="00E2713C"/>
    <w:rsid w:val="00E2775D"/>
    <w:rsid w:val="00E27AFE"/>
    <w:rsid w:val="00E30626"/>
    <w:rsid w:val="00E30F7B"/>
    <w:rsid w:val="00E317A1"/>
    <w:rsid w:val="00E317A2"/>
    <w:rsid w:val="00E320EA"/>
    <w:rsid w:val="00E324A8"/>
    <w:rsid w:val="00E32F8F"/>
    <w:rsid w:val="00E347F7"/>
    <w:rsid w:val="00E34EA7"/>
    <w:rsid w:val="00E367FD"/>
    <w:rsid w:val="00E368CF"/>
    <w:rsid w:val="00E3772E"/>
    <w:rsid w:val="00E4156C"/>
    <w:rsid w:val="00E428C2"/>
    <w:rsid w:val="00E42C5F"/>
    <w:rsid w:val="00E433D0"/>
    <w:rsid w:val="00E441C5"/>
    <w:rsid w:val="00E44300"/>
    <w:rsid w:val="00E44479"/>
    <w:rsid w:val="00E44D2F"/>
    <w:rsid w:val="00E453D5"/>
    <w:rsid w:val="00E4559C"/>
    <w:rsid w:val="00E45785"/>
    <w:rsid w:val="00E46E4B"/>
    <w:rsid w:val="00E47147"/>
    <w:rsid w:val="00E47C85"/>
    <w:rsid w:val="00E502D0"/>
    <w:rsid w:val="00E50328"/>
    <w:rsid w:val="00E50A3D"/>
    <w:rsid w:val="00E50B88"/>
    <w:rsid w:val="00E50CE1"/>
    <w:rsid w:val="00E512BB"/>
    <w:rsid w:val="00E5169D"/>
    <w:rsid w:val="00E51B9D"/>
    <w:rsid w:val="00E51D03"/>
    <w:rsid w:val="00E51FA6"/>
    <w:rsid w:val="00E52389"/>
    <w:rsid w:val="00E52D07"/>
    <w:rsid w:val="00E532BB"/>
    <w:rsid w:val="00E54BDA"/>
    <w:rsid w:val="00E55BD6"/>
    <w:rsid w:val="00E560EE"/>
    <w:rsid w:val="00E561DA"/>
    <w:rsid w:val="00E5643E"/>
    <w:rsid w:val="00E568F6"/>
    <w:rsid w:val="00E56CD3"/>
    <w:rsid w:val="00E57A7E"/>
    <w:rsid w:val="00E60971"/>
    <w:rsid w:val="00E60E42"/>
    <w:rsid w:val="00E61457"/>
    <w:rsid w:val="00E617BC"/>
    <w:rsid w:val="00E62381"/>
    <w:rsid w:val="00E62752"/>
    <w:rsid w:val="00E62E92"/>
    <w:rsid w:val="00E631B0"/>
    <w:rsid w:val="00E63BC3"/>
    <w:rsid w:val="00E643B7"/>
    <w:rsid w:val="00E646F1"/>
    <w:rsid w:val="00E64D1B"/>
    <w:rsid w:val="00E650AF"/>
    <w:rsid w:val="00E651A9"/>
    <w:rsid w:val="00E658BF"/>
    <w:rsid w:val="00E663D4"/>
    <w:rsid w:val="00E66ABC"/>
    <w:rsid w:val="00E72043"/>
    <w:rsid w:val="00E72600"/>
    <w:rsid w:val="00E735F5"/>
    <w:rsid w:val="00E73E5D"/>
    <w:rsid w:val="00E74476"/>
    <w:rsid w:val="00E757D3"/>
    <w:rsid w:val="00E759A7"/>
    <w:rsid w:val="00E75CC6"/>
    <w:rsid w:val="00E7686D"/>
    <w:rsid w:val="00E778E6"/>
    <w:rsid w:val="00E77C15"/>
    <w:rsid w:val="00E77C27"/>
    <w:rsid w:val="00E809F8"/>
    <w:rsid w:val="00E824CD"/>
    <w:rsid w:val="00E83CCE"/>
    <w:rsid w:val="00E8421F"/>
    <w:rsid w:val="00E8455E"/>
    <w:rsid w:val="00E84F2F"/>
    <w:rsid w:val="00E85F00"/>
    <w:rsid w:val="00E86274"/>
    <w:rsid w:val="00E870BD"/>
    <w:rsid w:val="00E8733A"/>
    <w:rsid w:val="00E87907"/>
    <w:rsid w:val="00E87E94"/>
    <w:rsid w:val="00E907D3"/>
    <w:rsid w:val="00E90D23"/>
    <w:rsid w:val="00E90D94"/>
    <w:rsid w:val="00E90D9F"/>
    <w:rsid w:val="00E90EB2"/>
    <w:rsid w:val="00E91554"/>
    <w:rsid w:val="00E9289F"/>
    <w:rsid w:val="00E92B1F"/>
    <w:rsid w:val="00E92DAF"/>
    <w:rsid w:val="00E94283"/>
    <w:rsid w:val="00E9544D"/>
    <w:rsid w:val="00E9585C"/>
    <w:rsid w:val="00E96174"/>
    <w:rsid w:val="00E96929"/>
    <w:rsid w:val="00EA0B53"/>
    <w:rsid w:val="00EA1E64"/>
    <w:rsid w:val="00EA209A"/>
    <w:rsid w:val="00EA2C81"/>
    <w:rsid w:val="00EA2E3F"/>
    <w:rsid w:val="00EA30A4"/>
    <w:rsid w:val="00EA390E"/>
    <w:rsid w:val="00EA4FB2"/>
    <w:rsid w:val="00EA5474"/>
    <w:rsid w:val="00EA55DE"/>
    <w:rsid w:val="00EA6E25"/>
    <w:rsid w:val="00EA745A"/>
    <w:rsid w:val="00EA75DA"/>
    <w:rsid w:val="00EA7663"/>
    <w:rsid w:val="00EA7A29"/>
    <w:rsid w:val="00EB1856"/>
    <w:rsid w:val="00EB1B57"/>
    <w:rsid w:val="00EB1C35"/>
    <w:rsid w:val="00EB31A6"/>
    <w:rsid w:val="00EB33EB"/>
    <w:rsid w:val="00EB357D"/>
    <w:rsid w:val="00EB3CAF"/>
    <w:rsid w:val="00EB4A27"/>
    <w:rsid w:val="00EB5394"/>
    <w:rsid w:val="00EB559A"/>
    <w:rsid w:val="00EB5770"/>
    <w:rsid w:val="00EB65B4"/>
    <w:rsid w:val="00EB6DA6"/>
    <w:rsid w:val="00EB7527"/>
    <w:rsid w:val="00EC3C6A"/>
    <w:rsid w:val="00EC4435"/>
    <w:rsid w:val="00EC4D00"/>
    <w:rsid w:val="00EC4D7E"/>
    <w:rsid w:val="00EC50D6"/>
    <w:rsid w:val="00EC5223"/>
    <w:rsid w:val="00EC6198"/>
    <w:rsid w:val="00EC7219"/>
    <w:rsid w:val="00EC790C"/>
    <w:rsid w:val="00EC7F43"/>
    <w:rsid w:val="00ED00D6"/>
    <w:rsid w:val="00ED027A"/>
    <w:rsid w:val="00ED0968"/>
    <w:rsid w:val="00ED0CC3"/>
    <w:rsid w:val="00ED2A93"/>
    <w:rsid w:val="00ED3ADD"/>
    <w:rsid w:val="00ED3D43"/>
    <w:rsid w:val="00ED43FD"/>
    <w:rsid w:val="00ED44D2"/>
    <w:rsid w:val="00ED665B"/>
    <w:rsid w:val="00ED6D06"/>
    <w:rsid w:val="00ED791F"/>
    <w:rsid w:val="00EE05A1"/>
    <w:rsid w:val="00EE07EC"/>
    <w:rsid w:val="00EE07ED"/>
    <w:rsid w:val="00EE118E"/>
    <w:rsid w:val="00EE14C4"/>
    <w:rsid w:val="00EE1DF6"/>
    <w:rsid w:val="00EE2021"/>
    <w:rsid w:val="00EE2955"/>
    <w:rsid w:val="00EE2C90"/>
    <w:rsid w:val="00EE4020"/>
    <w:rsid w:val="00EE4618"/>
    <w:rsid w:val="00EE5017"/>
    <w:rsid w:val="00EE5195"/>
    <w:rsid w:val="00EE5524"/>
    <w:rsid w:val="00EE697E"/>
    <w:rsid w:val="00EE7731"/>
    <w:rsid w:val="00EE7B09"/>
    <w:rsid w:val="00EF1006"/>
    <w:rsid w:val="00EF128E"/>
    <w:rsid w:val="00EF1EFB"/>
    <w:rsid w:val="00EF2372"/>
    <w:rsid w:val="00EF3D4C"/>
    <w:rsid w:val="00EF44F3"/>
    <w:rsid w:val="00EF5115"/>
    <w:rsid w:val="00EF563A"/>
    <w:rsid w:val="00EF5C41"/>
    <w:rsid w:val="00EF6990"/>
    <w:rsid w:val="00EF6DB1"/>
    <w:rsid w:val="00F004BB"/>
    <w:rsid w:val="00F00615"/>
    <w:rsid w:val="00F012E8"/>
    <w:rsid w:val="00F017AD"/>
    <w:rsid w:val="00F01B81"/>
    <w:rsid w:val="00F02006"/>
    <w:rsid w:val="00F026FE"/>
    <w:rsid w:val="00F02700"/>
    <w:rsid w:val="00F02921"/>
    <w:rsid w:val="00F03487"/>
    <w:rsid w:val="00F041AF"/>
    <w:rsid w:val="00F06273"/>
    <w:rsid w:val="00F06462"/>
    <w:rsid w:val="00F068C7"/>
    <w:rsid w:val="00F0699B"/>
    <w:rsid w:val="00F07478"/>
    <w:rsid w:val="00F07B69"/>
    <w:rsid w:val="00F10E4F"/>
    <w:rsid w:val="00F11F06"/>
    <w:rsid w:val="00F11F98"/>
    <w:rsid w:val="00F12A77"/>
    <w:rsid w:val="00F12E75"/>
    <w:rsid w:val="00F14753"/>
    <w:rsid w:val="00F14D94"/>
    <w:rsid w:val="00F152FF"/>
    <w:rsid w:val="00F15CD5"/>
    <w:rsid w:val="00F16B7B"/>
    <w:rsid w:val="00F17BEB"/>
    <w:rsid w:val="00F17CDC"/>
    <w:rsid w:val="00F20A62"/>
    <w:rsid w:val="00F21695"/>
    <w:rsid w:val="00F228C2"/>
    <w:rsid w:val="00F22926"/>
    <w:rsid w:val="00F22F56"/>
    <w:rsid w:val="00F23F0B"/>
    <w:rsid w:val="00F24CD6"/>
    <w:rsid w:val="00F261E6"/>
    <w:rsid w:val="00F26516"/>
    <w:rsid w:val="00F2678A"/>
    <w:rsid w:val="00F26AC0"/>
    <w:rsid w:val="00F26CBA"/>
    <w:rsid w:val="00F26D76"/>
    <w:rsid w:val="00F2739D"/>
    <w:rsid w:val="00F275C7"/>
    <w:rsid w:val="00F277C2"/>
    <w:rsid w:val="00F27EB5"/>
    <w:rsid w:val="00F3123E"/>
    <w:rsid w:val="00F31A14"/>
    <w:rsid w:val="00F31E08"/>
    <w:rsid w:val="00F31FAA"/>
    <w:rsid w:val="00F33303"/>
    <w:rsid w:val="00F33C22"/>
    <w:rsid w:val="00F34401"/>
    <w:rsid w:val="00F3495D"/>
    <w:rsid w:val="00F356E0"/>
    <w:rsid w:val="00F358B4"/>
    <w:rsid w:val="00F3615F"/>
    <w:rsid w:val="00F369C6"/>
    <w:rsid w:val="00F36CAE"/>
    <w:rsid w:val="00F4346F"/>
    <w:rsid w:val="00F44213"/>
    <w:rsid w:val="00F44B07"/>
    <w:rsid w:val="00F44DEC"/>
    <w:rsid w:val="00F461EB"/>
    <w:rsid w:val="00F463FA"/>
    <w:rsid w:val="00F46540"/>
    <w:rsid w:val="00F467A8"/>
    <w:rsid w:val="00F479E2"/>
    <w:rsid w:val="00F508C8"/>
    <w:rsid w:val="00F50A6B"/>
    <w:rsid w:val="00F51285"/>
    <w:rsid w:val="00F5165C"/>
    <w:rsid w:val="00F518D3"/>
    <w:rsid w:val="00F51AE7"/>
    <w:rsid w:val="00F51D36"/>
    <w:rsid w:val="00F51ED6"/>
    <w:rsid w:val="00F526F3"/>
    <w:rsid w:val="00F539AE"/>
    <w:rsid w:val="00F54C2C"/>
    <w:rsid w:val="00F55393"/>
    <w:rsid w:val="00F55C0D"/>
    <w:rsid w:val="00F561EE"/>
    <w:rsid w:val="00F564B1"/>
    <w:rsid w:val="00F577E3"/>
    <w:rsid w:val="00F6047E"/>
    <w:rsid w:val="00F60A1F"/>
    <w:rsid w:val="00F61AC1"/>
    <w:rsid w:val="00F62D52"/>
    <w:rsid w:val="00F64071"/>
    <w:rsid w:val="00F64187"/>
    <w:rsid w:val="00F6490C"/>
    <w:rsid w:val="00F64CD6"/>
    <w:rsid w:val="00F6549A"/>
    <w:rsid w:val="00F656B4"/>
    <w:rsid w:val="00F656CC"/>
    <w:rsid w:val="00F6591B"/>
    <w:rsid w:val="00F65FB7"/>
    <w:rsid w:val="00F660CD"/>
    <w:rsid w:val="00F66F5F"/>
    <w:rsid w:val="00F70AEE"/>
    <w:rsid w:val="00F716D7"/>
    <w:rsid w:val="00F7217E"/>
    <w:rsid w:val="00F7247F"/>
    <w:rsid w:val="00F73501"/>
    <w:rsid w:val="00F735FF"/>
    <w:rsid w:val="00F73AA0"/>
    <w:rsid w:val="00F73C74"/>
    <w:rsid w:val="00F73C92"/>
    <w:rsid w:val="00F73EEE"/>
    <w:rsid w:val="00F73FCC"/>
    <w:rsid w:val="00F7418C"/>
    <w:rsid w:val="00F74B2D"/>
    <w:rsid w:val="00F751A8"/>
    <w:rsid w:val="00F75D5B"/>
    <w:rsid w:val="00F75EDC"/>
    <w:rsid w:val="00F76290"/>
    <w:rsid w:val="00F764C5"/>
    <w:rsid w:val="00F764F0"/>
    <w:rsid w:val="00F76B84"/>
    <w:rsid w:val="00F7704B"/>
    <w:rsid w:val="00F77611"/>
    <w:rsid w:val="00F8096A"/>
    <w:rsid w:val="00F80E6F"/>
    <w:rsid w:val="00F81D01"/>
    <w:rsid w:val="00F82E55"/>
    <w:rsid w:val="00F82E63"/>
    <w:rsid w:val="00F83331"/>
    <w:rsid w:val="00F83F19"/>
    <w:rsid w:val="00F84620"/>
    <w:rsid w:val="00F8493B"/>
    <w:rsid w:val="00F85713"/>
    <w:rsid w:val="00F86A71"/>
    <w:rsid w:val="00F86EB6"/>
    <w:rsid w:val="00F87555"/>
    <w:rsid w:val="00F90027"/>
    <w:rsid w:val="00F901E8"/>
    <w:rsid w:val="00F90208"/>
    <w:rsid w:val="00F90910"/>
    <w:rsid w:val="00F93587"/>
    <w:rsid w:val="00F93728"/>
    <w:rsid w:val="00F94C0A"/>
    <w:rsid w:val="00F96667"/>
    <w:rsid w:val="00F96BF4"/>
    <w:rsid w:val="00F96F2E"/>
    <w:rsid w:val="00F97EE9"/>
    <w:rsid w:val="00FA0AE6"/>
    <w:rsid w:val="00FA0FFA"/>
    <w:rsid w:val="00FA1484"/>
    <w:rsid w:val="00FA1EE0"/>
    <w:rsid w:val="00FA1EEA"/>
    <w:rsid w:val="00FA252F"/>
    <w:rsid w:val="00FA2573"/>
    <w:rsid w:val="00FA263D"/>
    <w:rsid w:val="00FA2E59"/>
    <w:rsid w:val="00FA3009"/>
    <w:rsid w:val="00FA4179"/>
    <w:rsid w:val="00FA4682"/>
    <w:rsid w:val="00FA47D6"/>
    <w:rsid w:val="00FA48F4"/>
    <w:rsid w:val="00FA59F2"/>
    <w:rsid w:val="00FA68C6"/>
    <w:rsid w:val="00FB09B4"/>
    <w:rsid w:val="00FB1946"/>
    <w:rsid w:val="00FB19CC"/>
    <w:rsid w:val="00FB4742"/>
    <w:rsid w:val="00FB52B7"/>
    <w:rsid w:val="00FB558E"/>
    <w:rsid w:val="00FB55A4"/>
    <w:rsid w:val="00FB5D5F"/>
    <w:rsid w:val="00FB6321"/>
    <w:rsid w:val="00FB65E8"/>
    <w:rsid w:val="00FB7D77"/>
    <w:rsid w:val="00FC05A9"/>
    <w:rsid w:val="00FC1041"/>
    <w:rsid w:val="00FC18CD"/>
    <w:rsid w:val="00FC1BDB"/>
    <w:rsid w:val="00FC1CCF"/>
    <w:rsid w:val="00FC2FC6"/>
    <w:rsid w:val="00FC33E3"/>
    <w:rsid w:val="00FC38AB"/>
    <w:rsid w:val="00FC4025"/>
    <w:rsid w:val="00FC440C"/>
    <w:rsid w:val="00FC5D9E"/>
    <w:rsid w:val="00FC5F97"/>
    <w:rsid w:val="00FC615E"/>
    <w:rsid w:val="00FC6487"/>
    <w:rsid w:val="00FC6651"/>
    <w:rsid w:val="00FC66EF"/>
    <w:rsid w:val="00FC69BE"/>
    <w:rsid w:val="00FC76B7"/>
    <w:rsid w:val="00FC7B1E"/>
    <w:rsid w:val="00FD0762"/>
    <w:rsid w:val="00FD0C51"/>
    <w:rsid w:val="00FD2518"/>
    <w:rsid w:val="00FD27CC"/>
    <w:rsid w:val="00FD2CD7"/>
    <w:rsid w:val="00FD395E"/>
    <w:rsid w:val="00FD3963"/>
    <w:rsid w:val="00FD3C2D"/>
    <w:rsid w:val="00FD40A4"/>
    <w:rsid w:val="00FD48B2"/>
    <w:rsid w:val="00FD52CF"/>
    <w:rsid w:val="00FD563B"/>
    <w:rsid w:val="00FD5694"/>
    <w:rsid w:val="00FD59D7"/>
    <w:rsid w:val="00FD6490"/>
    <w:rsid w:val="00FD6CAB"/>
    <w:rsid w:val="00FD7200"/>
    <w:rsid w:val="00FD7274"/>
    <w:rsid w:val="00FD7885"/>
    <w:rsid w:val="00FE08DA"/>
    <w:rsid w:val="00FE09D4"/>
    <w:rsid w:val="00FE1387"/>
    <w:rsid w:val="00FE1BE6"/>
    <w:rsid w:val="00FE324E"/>
    <w:rsid w:val="00FE32B9"/>
    <w:rsid w:val="00FE38D7"/>
    <w:rsid w:val="00FE5151"/>
    <w:rsid w:val="00FE557A"/>
    <w:rsid w:val="00FE5D6D"/>
    <w:rsid w:val="00FE6895"/>
    <w:rsid w:val="00FE7C5F"/>
    <w:rsid w:val="00FF0931"/>
    <w:rsid w:val="00FF0B3D"/>
    <w:rsid w:val="00FF0B8C"/>
    <w:rsid w:val="00FF1297"/>
    <w:rsid w:val="00FF14EF"/>
    <w:rsid w:val="00FF22BB"/>
    <w:rsid w:val="00FF2507"/>
    <w:rsid w:val="00FF2B98"/>
    <w:rsid w:val="00FF2BB2"/>
    <w:rsid w:val="00FF342A"/>
    <w:rsid w:val="00FF36BD"/>
    <w:rsid w:val="00FF3FF0"/>
    <w:rsid w:val="00FF4250"/>
    <w:rsid w:val="00FF47C4"/>
    <w:rsid w:val="00FF4F05"/>
    <w:rsid w:val="00FF54EA"/>
    <w:rsid w:val="00FF554C"/>
    <w:rsid w:val="00FF5F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04AD3-89E8-4847-A552-B3A3669B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04"/>
    <w:pPr>
      <w:spacing w:after="200" w:line="276" w:lineRule="auto"/>
    </w:pPr>
  </w:style>
  <w:style w:type="paragraph" w:styleId="Ttulo1">
    <w:name w:val="heading 1"/>
    <w:basedOn w:val="Normal"/>
    <w:next w:val="Normal"/>
    <w:link w:val="Ttulo1Car"/>
    <w:uiPriority w:val="9"/>
    <w:qFormat/>
    <w:rsid w:val="00D133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 texto,Footnote,Párrafo de lista1,List Paragraph1,Colorful List - Accent 11,Cuadrícula clara - Énfasis 31,TEXTO GENERAL SENTENCIAS"/>
    <w:basedOn w:val="Normal"/>
    <w:link w:val="PrrafodelistaCar"/>
    <w:uiPriority w:val="34"/>
    <w:qFormat/>
    <w:rsid w:val="00BB6850"/>
    <w:pPr>
      <w:ind w:left="720"/>
      <w:contextualSpacing/>
    </w:pPr>
  </w:style>
  <w:style w:type="paragraph" w:styleId="Textonotapie">
    <w:name w:val="footnote text"/>
    <w:aliases w:val="FA Fu,Footnote reference,Footnote Text Char Char Char Char Char,Footnote Text Char Char Char Char,Footnote Text Char Char Char Char Car,texto de nota al pie,Texto nota pie Car1,Texto nota pie Car Car,texto de nota al pie Car Car,Ca,C,ft"/>
    <w:basedOn w:val="Normal"/>
    <w:link w:val="TextonotapieCar"/>
    <w:uiPriority w:val="99"/>
    <w:unhideWhenUsed/>
    <w:qFormat/>
    <w:rsid w:val="00BB6850"/>
    <w:pPr>
      <w:spacing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texto de nota al pie Car,Texto nota pie Car1 Car,Texto nota pie Car Car Car"/>
    <w:basedOn w:val="Fuentedeprrafopredeter"/>
    <w:link w:val="Textonotapie"/>
    <w:uiPriority w:val="99"/>
    <w:rsid w:val="00BB6850"/>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BB6850"/>
    <w:rPr>
      <w:vertAlign w:val="superscript"/>
    </w:rPr>
  </w:style>
  <w:style w:type="paragraph" w:customStyle="1" w:styleId="Estilo">
    <w:name w:val="Estilo"/>
    <w:basedOn w:val="Sinespaciado"/>
    <w:link w:val="EstiloCar"/>
    <w:qFormat/>
    <w:rsid w:val="00BB6850"/>
    <w:pPr>
      <w:jc w:val="both"/>
    </w:pPr>
    <w:rPr>
      <w:rFonts w:ascii="Arial" w:hAnsi="Arial"/>
      <w:sz w:val="24"/>
    </w:rPr>
  </w:style>
  <w:style w:type="character" w:customStyle="1" w:styleId="EstiloCar">
    <w:name w:val="Estilo Car"/>
    <w:basedOn w:val="Fuentedeprrafopredeter"/>
    <w:link w:val="Estilo"/>
    <w:rsid w:val="00BB6850"/>
    <w:rPr>
      <w:rFonts w:ascii="Arial" w:hAnsi="Arial"/>
      <w:sz w:val="24"/>
    </w:rPr>
  </w:style>
  <w:style w:type="character" w:customStyle="1" w:styleId="PrrafodelistaCar">
    <w:name w:val="Párrafo de lista Car"/>
    <w:aliases w:val="Cita texto Car,Footnote Car,Párrafo de lista1 Car,List Paragraph1 Car,Colorful List - Accent 11 Car,Cuadrícula clara - Énfasis 31 Car,TEXTO GENERAL SENTENCIAS Car"/>
    <w:basedOn w:val="Fuentedeprrafopredeter"/>
    <w:link w:val="Prrafodelista"/>
    <w:uiPriority w:val="34"/>
    <w:locked/>
    <w:rsid w:val="00BB6850"/>
  </w:style>
  <w:style w:type="paragraph" w:customStyle="1" w:styleId="corte4fondo">
    <w:name w:val="corte4 fondo"/>
    <w:basedOn w:val="Normal"/>
    <w:link w:val="corte4fondoCar1"/>
    <w:qFormat/>
    <w:rsid w:val="00BB6850"/>
    <w:pPr>
      <w:spacing w:after="0" w:line="300" w:lineRule="auto"/>
      <w:ind w:firstLine="709"/>
      <w:jc w:val="both"/>
    </w:pPr>
    <w:rPr>
      <w:rFonts w:ascii="Arial" w:eastAsia="Times New Roman" w:hAnsi="Arial" w:cs="Times New Roman"/>
      <w:sz w:val="30"/>
      <w:szCs w:val="20"/>
      <w:lang w:val="es-ES_tradnl" w:eastAsia="x-none"/>
    </w:rPr>
  </w:style>
  <w:style w:type="character" w:customStyle="1" w:styleId="corte4fondoCar1">
    <w:name w:val="corte4 fondo Car1"/>
    <w:link w:val="corte4fondo"/>
    <w:locked/>
    <w:rsid w:val="00BB6850"/>
    <w:rPr>
      <w:rFonts w:ascii="Arial" w:eastAsia="Times New Roman" w:hAnsi="Arial" w:cs="Times New Roman"/>
      <w:sz w:val="30"/>
      <w:szCs w:val="20"/>
      <w:lang w:val="es-ES_tradnl" w:eastAsia="x-none"/>
    </w:rPr>
  </w:style>
  <w:style w:type="character" w:customStyle="1" w:styleId="corte4fondoCar">
    <w:name w:val="corte4 fondo Car"/>
    <w:rsid w:val="00BB6850"/>
    <w:rPr>
      <w:rFonts w:ascii="Arial" w:hAnsi="Arial"/>
      <w:sz w:val="30"/>
      <w:lang w:val="es-ES_tradnl" w:eastAsia="es-MX" w:bidi="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B6850"/>
    <w:pPr>
      <w:spacing w:after="0" w:line="240" w:lineRule="auto"/>
      <w:jc w:val="both"/>
    </w:pPr>
    <w:rPr>
      <w:vertAlign w:val="superscript"/>
    </w:rPr>
  </w:style>
  <w:style w:type="paragraph" w:styleId="Sinespaciado">
    <w:name w:val="No Spacing"/>
    <w:link w:val="SinespaciadoCar"/>
    <w:uiPriority w:val="1"/>
    <w:qFormat/>
    <w:rsid w:val="00BB6850"/>
    <w:pPr>
      <w:spacing w:after="0" w:line="240" w:lineRule="auto"/>
    </w:pPr>
  </w:style>
  <w:style w:type="paragraph" w:styleId="Encabezado">
    <w:name w:val="header"/>
    <w:basedOn w:val="Normal"/>
    <w:link w:val="EncabezadoCar"/>
    <w:uiPriority w:val="99"/>
    <w:unhideWhenUsed/>
    <w:rsid w:val="00BB68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850"/>
  </w:style>
  <w:style w:type="paragraph" w:styleId="Piedepgina">
    <w:name w:val="footer"/>
    <w:basedOn w:val="Normal"/>
    <w:link w:val="PiedepginaCar"/>
    <w:uiPriority w:val="99"/>
    <w:unhideWhenUsed/>
    <w:rsid w:val="00BB68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850"/>
  </w:style>
  <w:style w:type="paragraph" w:customStyle="1" w:styleId="corte1datos">
    <w:name w:val="corte1 datos"/>
    <w:basedOn w:val="Normal"/>
    <w:link w:val="corte1datosCar"/>
    <w:uiPriority w:val="99"/>
    <w:qFormat/>
    <w:rsid w:val="00BB6850"/>
    <w:pPr>
      <w:spacing w:after="0" w:line="240" w:lineRule="auto"/>
      <w:ind w:left="2552"/>
    </w:pPr>
    <w:rPr>
      <w:rFonts w:ascii="Arial" w:eastAsia="Times New Roman" w:hAnsi="Arial" w:cs="Times New Roman"/>
      <w:b/>
      <w:caps/>
      <w:sz w:val="30"/>
      <w:szCs w:val="20"/>
      <w:lang w:val="es-ES_tradnl" w:eastAsia="es-ES"/>
    </w:rPr>
  </w:style>
  <w:style w:type="character" w:customStyle="1" w:styleId="corte1datosCar">
    <w:name w:val="corte1 datos Car"/>
    <w:link w:val="corte1datos"/>
    <w:uiPriority w:val="99"/>
    <w:locked/>
    <w:rsid w:val="00BB6850"/>
    <w:rPr>
      <w:rFonts w:ascii="Arial" w:eastAsia="Times New Roman" w:hAnsi="Arial" w:cs="Times New Roman"/>
      <w:b/>
      <w:caps/>
      <w:sz w:val="30"/>
      <w:szCs w:val="20"/>
      <w:lang w:val="es-ES_tradnl" w:eastAsia="es-ES"/>
    </w:rPr>
  </w:style>
  <w:style w:type="table" w:styleId="Tablaconcuadrcula">
    <w:name w:val="Table Grid"/>
    <w:basedOn w:val="Tablanormal"/>
    <w:uiPriority w:val="39"/>
    <w:rsid w:val="006C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7B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B11"/>
    <w:rPr>
      <w:rFonts w:ascii="Segoe UI" w:hAnsi="Segoe UI" w:cs="Segoe UI"/>
      <w:sz w:val="18"/>
      <w:szCs w:val="18"/>
    </w:rPr>
  </w:style>
  <w:style w:type="character" w:customStyle="1" w:styleId="Ttulo1Car">
    <w:name w:val="Título 1 Car"/>
    <w:basedOn w:val="Fuentedeprrafopredeter"/>
    <w:link w:val="Ttulo1"/>
    <w:uiPriority w:val="9"/>
    <w:rsid w:val="00D13320"/>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D13320"/>
    <w:pPr>
      <w:spacing w:after="120"/>
    </w:pPr>
  </w:style>
  <w:style w:type="character" w:customStyle="1" w:styleId="TextoindependienteCar">
    <w:name w:val="Texto independiente Car"/>
    <w:basedOn w:val="Fuentedeprrafopredeter"/>
    <w:link w:val="Textoindependiente"/>
    <w:uiPriority w:val="99"/>
    <w:rsid w:val="00D13320"/>
  </w:style>
  <w:style w:type="paragraph" w:styleId="Sangradetextonormal">
    <w:name w:val="Body Text Indent"/>
    <w:basedOn w:val="Normal"/>
    <w:link w:val="SangradetextonormalCar"/>
    <w:uiPriority w:val="99"/>
    <w:semiHidden/>
    <w:unhideWhenUsed/>
    <w:rsid w:val="00D13320"/>
    <w:pPr>
      <w:spacing w:after="120"/>
      <w:ind w:left="283"/>
    </w:pPr>
  </w:style>
  <w:style w:type="character" w:customStyle="1" w:styleId="SangradetextonormalCar">
    <w:name w:val="Sangría de texto normal Car"/>
    <w:basedOn w:val="Fuentedeprrafopredeter"/>
    <w:link w:val="Sangradetextonormal"/>
    <w:uiPriority w:val="99"/>
    <w:semiHidden/>
    <w:rsid w:val="00D13320"/>
  </w:style>
  <w:style w:type="paragraph" w:styleId="Textoindependienteprimerasangra2">
    <w:name w:val="Body Text First Indent 2"/>
    <w:basedOn w:val="Sangradetextonormal"/>
    <w:link w:val="Textoindependienteprimerasangra2Car"/>
    <w:uiPriority w:val="99"/>
    <w:unhideWhenUsed/>
    <w:rsid w:val="00D1332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13320"/>
  </w:style>
  <w:style w:type="character" w:customStyle="1" w:styleId="corte4fondoCarCar">
    <w:name w:val="corte4 fondo Car Car"/>
    <w:rsid w:val="00C40B5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176DB9"/>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Revisin">
    <w:name w:val="Revision"/>
    <w:hidden/>
    <w:uiPriority w:val="99"/>
    <w:semiHidden/>
    <w:rsid w:val="006D3536"/>
    <w:pPr>
      <w:spacing w:after="0" w:line="240" w:lineRule="auto"/>
    </w:pPr>
  </w:style>
  <w:style w:type="character" w:styleId="Hipervnculo">
    <w:name w:val="Hyperlink"/>
    <w:uiPriority w:val="99"/>
    <w:unhideWhenUsed/>
    <w:rsid w:val="0011393D"/>
    <w:rPr>
      <w:color w:val="0563C1"/>
      <w:u w:val="single"/>
    </w:rPr>
  </w:style>
  <w:style w:type="character" w:customStyle="1" w:styleId="lbl-encabezado-negro">
    <w:name w:val="lbl-encabezado-negro"/>
    <w:basedOn w:val="Fuentedeprrafopredeter"/>
    <w:rsid w:val="00537840"/>
  </w:style>
  <w:style w:type="character" w:customStyle="1" w:styleId="red">
    <w:name w:val="red"/>
    <w:basedOn w:val="Fuentedeprrafopredeter"/>
    <w:rsid w:val="00537840"/>
  </w:style>
  <w:style w:type="character" w:customStyle="1" w:styleId="NotaalpieCar">
    <w:name w:val="Nota al pie Car"/>
    <w:aliases w:val="Footnote Text Char Char Char Char Char Car1,Footnote reference Car1,FA Fu Car1,Footnote Text Char Char Char Car1,Footnote Text Cha Car1,FA Fußnotentext Car1,FA Fu?notentext Car"/>
    <w:uiPriority w:val="99"/>
    <w:locked/>
    <w:rsid w:val="00EF563A"/>
    <w:rPr>
      <w:rFonts w:ascii="Arial" w:eastAsia="Times New Roman" w:hAnsi="Arial" w:cs="Times New Roman"/>
      <w:sz w:val="20"/>
      <w:szCs w:val="20"/>
      <w:lang w:eastAsia="es-MX"/>
    </w:rPr>
  </w:style>
  <w:style w:type="paragraph" w:customStyle="1" w:styleId="Default">
    <w:name w:val="Default"/>
    <w:rsid w:val="00C037B3"/>
    <w:pPr>
      <w:autoSpaceDE w:val="0"/>
      <w:autoSpaceDN w:val="0"/>
      <w:adjustRightInd w:val="0"/>
      <w:spacing w:after="0" w:line="240" w:lineRule="auto"/>
    </w:pPr>
    <w:rPr>
      <w:rFonts w:ascii="Arial" w:hAnsi="Arial" w:cs="Arial"/>
      <w:color w:val="000000"/>
      <w:sz w:val="24"/>
      <w:szCs w:val="24"/>
    </w:rPr>
  </w:style>
  <w:style w:type="character" w:customStyle="1" w:styleId="SinespaciadoCar">
    <w:name w:val="Sin espaciado Car"/>
    <w:link w:val="Sinespaciado"/>
    <w:uiPriority w:val="1"/>
    <w:locked/>
    <w:rsid w:val="00217961"/>
  </w:style>
  <w:style w:type="character" w:customStyle="1" w:styleId="Mencinsinresolver1">
    <w:name w:val="Mención sin resolver1"/>
    <w:basedOn w:val="Fuentedeprrafopredeter"/>
    <w:uiPriority w:val="99"/>
    <w:semiHidden/>
    <w:unhideWhenUsed/>
    <w:rsid w:val="000F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20484">
      <w:bodyDiv w:val="1"/>
      <w:marLeft w:val="0"/>
      <w:marRight w:val="0"/>
      <w:marTop w:val="0"/>
      <w:marBottom w:val="0"/>
      <w:divBdr>
        <w:top w:val="none" w:sz="0" w:space="0" w:color="auto"/>
        <w:left w:val="none" w:sz="0" w:space="0" w:color="auto"/>
        <w:bottom w:val="none" w:sz="0" w:space="0" w:color="auto"/>
        <w:right w:val="none" w:sz="0" w:space="0" w:color="auto"/>
      </w:divBdr>
    </w:div>
    <w:div w:id="333069200">
      <w:bodyDiv w:val="1"/>
      <w:marLeft w:val="0"/>
      <w:marRight w:val="0"/>
      <w:marTop w:val="0"/>
      <w:marBottom w:val="0"/>
      <w:divBdr>
        <w:top w:val="none" w:sz="0" w:space="0" w:color="auto"/>
        <w:left w:val="none" w:sz="0" w:space="0" w:color="auto"/>
        <w:bottom w:val="none" w:sz="0" w:space="0" w:color="auto"/>
        <w:right w:val="none" w:sz="0" w:space="0" w:color="auto"/>
      </w:divBdr>
    </w:div>
    <w:div w:id="616915056">
      <w:bodyDiv w:val="1"/>
      <w:marLeft w:val="0"/>
      <w:marRight w:val="0"/>
      <w:marTop w:val="0"/>
      <w:marBottom w:val="0"/>
      <w:divBdr>
        <w:top w:val="none" w:sz="0" w:space="0" w:color="auto"/>
        <w:left w:val="none" w:sz="0" w:space="0" w:color="auto"/>
        <w:bottom w:val="none" w:sz="0" w:space="0" w:color="auto"/>
        <w:right w:val="none" w:sz="0" w:space="0" w:color="auto"/>
      </w:divBdr>
    </w:div>
    <w:div w:id="781076759">
      <w:bodyDiv w:val="1"/>
      <w:marLeft w:val="0"/>
      <w:marRight w:val="0"/>
      <w:marTop w:val="0"/>
      <w:marBottom w:val="0"/>
      <w:divBdr>
        <w:top w:val="none" w:sz="0" w:space="0" w:color="auto"/>
        <w:left w:val="none" w:sz="0" w:space="0" w:color="auto"/>
        <w:bottom w:val="none" w:sz="0" w:space="0" w:color="auto"/>
        <w:right w:val="none" w:sz="0" w:space="0" w:color="auto"/>
      </w:divBdr>
    </w:div>
    <w:div w:id="952830798">
      <w:bodyDiv w:val="1"/>
      <w:marLeft w:val="0"/>
      <w:marRight w:val="0"/>
      <w:marTop w:val="0"/>
      <w:marBottom w:val="0"/>
      <w:divBdr>
        <w:top w:val="none" w:sz="0" w:space="0" w:color="auto"/>
        <w:left w:val="none" w:sz="0" w:space="0" w:color="auto"/>
        <w:bottom w:val="none" w:sz="0" w:space="0" w:color="auto"/>
        <w:right w:val="none" w:sz="0" w:space="0" w:color="auto"/>
      </w:divBdr>
      <w:divsChild>
        <w:div w:id="673805769">
          <w:marLeft w:val="0"/>
          <w:marRight w:val="0"/>
          <w:marTop w:val="0"/>
          <w:marBottom w:val="0"/>
          <w:divBdr>
            <w:top w:val="none" w:sz="0" w:space="0" w:color="auto"/>
            <w:left w:val="none" w:sz="0" w:space="0" w:color="auto"/>
            <w:bottom w:val="none" w:sz="0" w:space="0" w:color="auto"/>
            <w:right w:val="none" w:sz="0" w:space="0" w:color="auto"/>
          </w:divBdr>
        </w:div>
      </w:divsChild>
    </w:div>
    <w:div w:id="1002246106">
      <w:bodyDiv w:val="1"/>
      <w:marLeft w:val="0"/>
      <w:marRight w:val="0"/>
      <w:marTop w:val="0"/>
      <w:marBottom w:val="0"/>
      <w:divBdr>
        <w:top w:val="none" w:sz="0" w:space="0" w:color="auto"/>
        <w:left w:val="none" w:sz="0" w:space="0" w:color="auto"/>
        <w:bottom w:val="none" w:sz="0" w:space="0" w:color="auto"/>
        <w:right w:val="none" w:sz="0" w:space="0" w:color="auto"/>
      </w:divBdr>
      <w:divsChild>
        <w:div w:id="978151383">
          <w:marLeft w:val="0"/>
          <w:marRight w:val="0"/>
          <w:marTop w:val="0"/>
          <w:marBottom w:val="0"/>
          <w:divBdr>
            <w:top w:val="none" w:sz="0" w:space="0" w:color="auto"/>
            <w:left w:val="none" w:sz="0" w:space="0" w:color="auto"/>
            <w:bottom w:val="none" w:sz="0" w:space="0" w:color="auto"/>
            <w:right w:val="none" w:sz="0" w:space="0" w:color="auto"/>
          </w:divBdr>
        </w:div>
      </w:divsChild>
    </w:div>
    <w:div w:id="1083258542">
      <w:bodyDiv w:val="1"/>
      <w:marLeft w:val="0"/>
      <w:marRight w:val="0"/>
      <w:marTop w:val="0"/>
      <w:marBottom w:val="0"/>
      <w:divBdr>
        <w:top w:val="none" w:sz="0" w:space="0" w:color="auto"/>
        <w:left w:val="none" w:sz="0" w:space="0" w:color="auto"/>
        <w:bottom w:val="none" w:sz="0" w:space="0" w:color="auto"/>
        <w:right w:val="none" w:sz="0" w:space="0" w:color="auto"/>
      </w:divBdr>
    </w:div>
    <w:div w:id="1122111650">
      <w:bodyDiv w:val="1"/>
      <w:marLeft w:val="0"/>
      <w:marRight w:val="0"/>
      <w:marTop w:val="0"/>
      <w:marBottom w:val="0"/>
      <w:divBdr>
        <w:top w:val="none" w:sz="0" w:space="0" w:color="auto"/>
        <w:left w:val="none" w:sz="0" w:space="0" w:color="auto"/>
        <w:bottom w:val="none" w:sz="0" w:space="0" w:color="auto"/>
        <w:right w:val="none" w:sz="0" w:space="0" w:color="auto"/>
      </w:divBdr>
      <w:divsChild>
        <w:div w:id="498739661">
          <w:marLeft w:val="0"/>
          <w:marRight w:val="0"/>
          <w:marTop w:val="0"/>
          <w:marBottom w:val="0"/>
          <w:divBdr>
            <w:top w:val="none" w:sz="0" w:space="0" w:color="auto"/>
            <w:left w:val="none" w:sz="0" w:space="0" w:color="auto"/>
            <w:bottom w:val="none" w:sz="0" w:space="0" w:color="auto"/>
            <w:right w:val="none" w:sz="0" w:space="0" w:color="auto"/>
          </w:divBdr>
        </w:div>
      </w:divsChild>
    </w:div>
    <w:div w:id="1233781454">
      <w:bodyDiv w:val="1"/>
      <w:marLeft w:val="0"/>
      <w:marRight w:val="0"/>
      <w:marTop w:val="0"/>
      <w:marBottom w:val="0"/>
      <w:divBdr>
        <w:top w:val="none" w:sz="0" w:space="0" w:color="auto"/>
        <w:left w:val="none" w:sz="0" w:space="0" w:color="auto"/>
        <w:bottom w:val="none" w:sz="0" w:space="0" w:color="auto"/>
        <w:right w:val="none" w:sz="0" w:space="0" w:color="auto"/>
      </w:divBdr>
    </w:div>
    <w:div w:id="1277181089">
      <w:bodyDiv w:val="1"/>
      <w:marLeft w:val="0"/>
      <w:marRight w:val="0"/>
      <w:marTop w:val="0"/>
      <w:marBottom w:val="0"/>
      <w:divBdr>
        <w:top w:val="none" w:sz="0" w:space="0" w:color="auto"/>
        <w:left w:val="none" w:sz="0" w:space="0" w:color="auto"/>
        <w:bottom w:val="none" w:sz="0" w:space="0" w:color="auto"/>
        <w:right w:val="none" w:sz="0" w:space="0" w:color="auto"/>
      </w:divBdr>
    </w:div>
    <w:div w:id="1451129386">
      <w:bodyDiv w:val="1"/>
      <w:marLeft w:val="0"/>
      <w:marRight w:val="0"/>
      <w:marTop w:val="0"/>
      <w:marBottom w:val="0"/>
      <w:divBdr>
        <w:top w:val="none" w:sz="0" w:space="0" w:color="auto"/>
        <w:left w:val="none" w:sz="0" w:space="0" w:color="auto"/>
        <w:bottom w:val="none" w:sz="0" w:space="0" w:color="auto"/>
        <w:right w:val="none" w:sz="0" w:space="0" w:color="auto"/>
      </w:divBdr>
    </w:div>
    <w:div w:id="1505627755">
      <w:bodyDiv w:val="1"/>
      <w:marLeft w:val="0"/>
      <w:marRight w:val="0"/>
      <w:marTop w:val="0"/>
      <w:marBottom w:val="0"/>
      <w:divBdr>
        <w:top w:val="none" w:sz="0" w:space="0" w:color="auto"/>
        <w:left w:val="none" w:sz="0" w:space="0" w:color="auto"/>
        <w:bottom w:val="none" w:sz="0" w:space="0" w:color="auto"/>
        <w:right w:val="none" w:sz="0" w:space="0" w:color="auto"/>
      </w:divBdr>
    </w:div>
    <w:div w:id="1632596206">
      <w:bodyDiv w:val="1"/>
      <w:marLeft w:val="0"/>
      <w:marRight w:val="0"/>
      <w:marTop w:val="0"/>
      <w:marBottom w:val="0"/>
      <w:divBdr>
        <w:top w:val="none" w:sz="0" w:space="0" w:color="auto"/>
        <w:left w:val="none" w:sz="0" w:space="0" w:color="auto"/>
        <w:bottom w:val="none" w:sz="0" w:space="0" w:color="auto"/>
        <w:right w:val="none" w:sz="0" w:space="0" w:color="auto"/>
      </w:divBdr>
    </w:div>
    <w:div w:id="1687250090">
      <w:bodyDiv w:val="1"/>
      <w:marLeft w:val="0"/>
      <w:marRight w:val="0"/>
      <w:marTop w:val="0"/>
      <w:marBottom w:val="0"/>
      <w:divBdr>
        <w:top w:val="none" w:sz="0" w:space="0" w:color="auto"/>
        <w:left w:val="none" w:sz="0" w:space="0" w:color="auto"/>
        <w:bottom w:val="none" w:sz="0" w:space="0" w:color="auto"/>
        <w:right w:val="none" w:sz="0" w:space="0" w:color="auto"/>
      </w:divBdr>
      <w:divsChild>
        <w:div w:id="1170564392">
          <w:marLeft w:val="0"/>
          <w:marRight w:val="0"/>
          <w:marTop w:val="0"/>
          <w:marBottom w:val="0"/>
          <w:divBdr>
            <w:top w:val="none" w:sz="0" w:space="0" w:color="auto"/>
            <w:left w:val="none" w:sz="0" w:space="0" w:color="auto"/>
            <w:bottom w:val="none" w:sz="0" w:space="0" w:color="auto"/>
            <w:right w:val="none" w:sz="0" w:space="0" w:color="auto"/>
          </w:divBdr>
        </w:div>
      </w:divsChild>
    </w:div>
    <w:div w:id="1930430515">
      <w:bodyDiv w:val="1"/>
      <w:marLeft w:val="0"/>
      <w:marRight w:val="0"/>
      <w:marTop w:val="0"/>
      <w:marBottom w:val="0"/>
      <w:divBdr>
        <w:top w:val="none" w:sz="0" w:space="0" w:color="auto"/>
        <w:left w:val="none" w:sz="0" w:space="0" w:color="auto"/>
        <w:bottom w:val="none" w:sz="0" w:space="0" w:color="auto"/>
        <w:right w:val="none" w:sz="0" w:space="0" w:color="auto"/>
      </w:divBdr>
    </w:div>
    <w:div w:id="20425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HRBodies/CRPD/Pages/ConventionRightsPersonsWithDisabilities.aspx" TargetMode="External"/><Relationship Id="rId1" Type="http://schemas.openxmlformats.org/officeDocument/2006/relationships/hyperlink" Target="http://chihuahua.gob.mx/atach2/anexo/anexo_104-2019_ley_organica_del_poder_judici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7A41-E762-49D3-B683-77BA65C5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10746</Words>
  <Characters>59106</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69713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BITAR SIMON;ALFREDO NARVAEZ MEDECIGO</dc:creator>
  <cp:lastModifiedBy>Liliana Cabrera Moscoso</cp:lastModifiedBy>
  <cp:revision>2</cp:revision>
  <cp:lastPrinted>2019-11-26T16:34:00Z</cp:lastPrinted>
  <dcterms:created xsi:type="dcterms:W3CDTF">2021-02-26T21:40:00Z</dcterms:created>
  <dcterms:modified xsi:type="dcterms:W3CDTF">2021-02-26T21:40:00Z</dcterms:modified>
</cp:coreProperties>
</file>